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A2CA" w14:textId="37B0311B" w:rsidR="001628E0" w:rsidRPr="000D73CE" w:rsidRDefault="006557AB" w:rsidP="00BA1B56">
      <w:pPr>
        <w:rPr>
          <w:b/>
          <w:bCs/>
          <w:sz w:val="28"/>
          <w:szCs w:val="32"/>
        </w:rPr>
      </w:pPr>
      <w:r>
        <w:rPr>
          <w:b/>
          <w:bCs/>
          <w:sz w:val="28"/>
          <w:szCs w:val="32"/>
        </w:rPr>
        <w:t>Afbakening kinderopvang, BSO+</w:t>
      </w:r>
      <w:r w:rsidR="001628E0" w:rsidRPr="000D73CE">
        <w:rPr>
          <w:b/>
          <w:bCs/>
          <w:sz w:val="28"/>
          <w:szCs w:val="32"/>
        </w:rPr>
        <w:t xml:space="preserve"> en </w:t>
      </w:r>
      <w:r w:rsidR="00D94408">
        <w:rPr>
          <w:b/>
          <w:bCs/>
          <w:sz w:val="28"/>
          <w:szCs w:val="32"/>
        </w:rPr>
        <w:t xml:space="preserve">specialistische </w:t>
      </w:r>
      <w:r w:rsidR="00134A90">
        <w:rPr>
          <w:b/>
          <w:bCs/>
          <w:sz w:val="28"/>
          <w:szCs w:val="32"/>
        </w:rPr>
        <w:t xml:space="preserve">jeugdhulp </w:t>
      </w:r>
      <w:r w:rsidR="00BF5BC5">
        <w:rPr>
          <w:b/>
          <w:bCs/>
          <w:sz w:val="28"/>
          <w:szCs w:val="32"/>
        </w:rPr>
        <w:t>(</w:t>
      </w:r>
      <w:r w:rsidR="001628E0" w:rsidRPr="000D73CE">
        <w:rPr>
          <w:b/>
          <w:bCs/>
          <w:sz w:val="28"/>
          <w:szCs w:val="32"/>
        </w:rPr>
        <w:t>segment 3</w:t>
      </w:r>
      <w:r w:rsidR="00BF5BC5">
        <w:rPr>
          <w:b/>
          <w:bCs/>
          <w:sz w:val="28"/>
          <w:szCs w:val="32"/>
        </w:rPr>
        <w:t>)</w:t>
      </w:r>
    </w:p>
    <w:p w14:paraId="18D524E1" w14:textId="77777777" w:rsidR="00620FC2" w:rsidRPr="00336093" w:rsidRDefault="00620FC2" w:rsidP="002601F2">
      <w:pPr>
        <w:pStyle w:val="Geenafstand"/>
        <w:rPr>
          <w:sz w:val="24"/>
          <w:szCs w:val="24"/>
        </w:rPr>
      </w:pPr>
    </w:p>
    <w:p w14:paraId="17DF2ED0" w14:textId="77777777" w:rsidR="00620FC2" w:rsidRPr="00F24FC0" w:rsidRDefault="00620FC2" w:rsidP="00620FC2">
      <w:pPr>
        <w:rPr>
          <w:b/>
          <w:bCs/>
          <w:i/>
          <w:iCs/>
          <w:szCs w:val="20"/>
          <w:lang w:eastAsia="nl-NL"/>
        </w:rPr>
      </w:pPr>
      <w:r w:rsidRPr="00F24FC0">
        <w:rPr>
          <w:b/>
          <w:bCs/>
          <w:i/>
          <w:iCs/>
          <w:szCs w:val="20"/>
          <w:lang w:eastAsia="nl-NL"/>
        </w:rPr>
        <w:t>Waarom dit afbakeningskader?</w:t>
      </w:r>
    </w:p>
    <w:p w14:paraId="6813A406" w14:textId="4B2705E1" w:rsidR="00620FC2" w:rsidRPr="00F24FC0" w:rsidRDefault="00983413" w:rsidP="00620FC2">
      <w:pPr>
        <w:rPr>
          <w:szCs w:val="20"/>
          <w:lang w:eastAsia="nl-NL"/>
        </w:rPr>
      </w:pPr>
      <w:r w:rsidRPr="00F24FC0">
        <w:rPr>
          <w:szCs w:val="20"/>
          <w:lang w:eastAsia="nl-NL"/>
        </w:rPr>
        <w:t>Naar aanleiding van gestelde vragen blijkt dat het niet altijd duidelijk is</w:t>
      </w:r>
      <w:r w:rsidR="00620FC2" w:rsidRPr="00F24FC0">
        <w:rPr>
          <w:szCs w:val="20"/>
          <w:lang w:eastAsia="nl-NL"/>
        </w:rPr>
        <w:t xml:space="preserve"> hoe kinderopvang, BSO+ en segment 3 (respijtzorg en dagbegeleiding) goed van elkaar te onderscheiden zijn. Middels dit kader geven we handvatten om </w:t>
      </w:r>
      <w:r w:rsidR="00D94408" w:rsidRPr="00F24FC0">
        <w:rPr>
          <w:szCs w:val="20"/>
          <w:lang w:eastAsia="nl-NL"/>
        </w:rPr>
        <w:t>de goede afweging</w:t>
      </w:r>
      <w:r w:rsidR="00620FC2" w:rsidRPr="00F24FC0">
        <w:rPr>
          <w:szCs w:val="20"/>
          <w:lang w:eastAsia="nl-NL"/>
        </w:rPr>
        <w:t xml:space="preserve"> te kunnen maken</w:t>
      </w:r>
      <w:r w:rsidR="00D94408" w:rsidRPr="00F24FC0">
        <w:rPr>
          <w:szCs w:val="20"/>
          <w:lang w:eastAsia="nl-NL"/>
        </w:rPr>
        <w:t xml:space="preserve">, om uiteindelijk het juiste product te kunnen </w:t>
      </w:r>
      <w:r w:rsidR="00336093">
        <w:rPr>
          <w:szCs w:val="20"/>
          <w:lang w:eastAsia="nl-NL"/>
        </w:rPr>
        <w:t>inzetten</w:t>
      </w:r>
      <w:r w:rsidR="00620FC2" w:rsidRPr="00F24FC0">
        <w:rPr>
          <w:szCs w:val="20"/>
          <w:lang w:eastAsia="nl-NL"/>
        </w:rPr>
        <w:t>.</w:t>
      </w:r>
    </w:p>
    <w:p w14:paraId="189871F0" w14:textId="77B8565B" w:rsidR="00620FC2" w:rsidRPr="00F24FC0" w:rsidRDefault="00620FC2" w:rsidP="00434C6C">
      <w:pPr>
        <w:pStyle w:val="Geenafstand"/>
        <w:rPr>
          <w:sz w:val="20"/>
          <w:szCs w:val="20"/>
        </w:rPr>
      </w:pPr>
    </w:p>
    <w:p w14:paraId="75D5CAA1" w14:textId="6EBCA6E3" w:rsidR="00983413" w:rsidRPr="00F24FC0" w:rsidRDefault="00983413" w:rsidP="000D73CE">
      <w:pPr>
        <w:rPr>
          <w:b/>
          <w:bCs/>
          <w:i/>
          <w:iCs/>
          <w:szCs w:val="20"/>
        </w:rPr>
      </w:pPr>
      <w:r w:rsidRPr="00F24FC0">
        <w:rPr>
          <w:b/>
          <w:bCs/>
          <w:i/>
          <w:iCs/>
          <w:szCs w:val="20"/>
        </w:rPr>
        <w:t xml:space="preserve">Belangrijke </w:t>
      </w:r>
      <w:r w:rsidR="00360CF7">
        <w:rPr>
          <w:b/>
          <w:bCs/>
          <w:i/>
          <w:iCs/>
          <w:szCs w:val="20"/>
        </w:rPr>
        <w:t>factoren</w:t>
      </w:r>
      <w:r w:rsidR="00360CF7" w:rsidRPr="00F24FC0">
        <w:rPr>
          <w:b/>
          <w:bCs/>
          <w:i/>
          <w:iCs/>
          <w:szCs w:val="20"/>
        </w:rPr>
        <w:t xml:space="preserve"> </w:t>
      </w:r>
      <w:r w:rsidRPr="00F24FC0">
        <w:rPr>
          <w:b/>
          <w:bCs/>
          <w:i/>
          <w:iCs/>
          <w:szCs w:val="20"/>
        </w:rPr>
        <w:t>bij het bepalen welk product passend is</w:t>
      </w:r>
    </w:p>
    <w:p w14:paraId="03B78B88" w14:textId="7A42AEA4" w:rsidR="002601F2" w:rsidRPr="00F24FC0" w:rsidRDefault="00880F41" w:rsidP="00983413">
      <w:pPr>
        <w:pStyle w:val="Lijstalinea"/>
        <w:numPr>
          <w:ilvl w:val="0"/>
          <w:numId w:val="6"/>
        </w:numPr>
        <w:ind w:left="709"/>
        <w:rPr>
          <w:szCs w:val="20"/>
        </w:rPr>
      </w:pPr>
      <w:r w:rsidRPr="00F24FC0">
        <w:rPr>
          <w:szCs w:val="20"/>
        </w:rPr>
        <w:t xml:space="preserve">Voor alle </w:t>
      </w:r>
      <w:r w:rsidR="00AB03C6" w:rsidRPr="00F24FC0">
        <w:rPr>
          <w:szCs w:val="20"/>
        </w:rPr>
        <w:t>hulpvragen</w:t>
      </w:r>
      <w:r w:rsidRPr="00F24FC0">
        <w:rPr>
          <w:szCs w:val="20"/>
        </w:rPr>
        <w:t xml:space="preserve"> geldt dat er eerst gekeken </w:t>
      </w:r>
      <w:r w:rsidR="006D452C" w:rsidRPr="00F24FC0">
        <w:rPr>
          <w:szCs w:val="20"/>
        </w:rPr>
        <w:t>wordt</w:t>
      </w:r>
      <w:r w:rsidRPr="00F24FC0">
        <w:rPr>
          <w:szCs w:val="20"/>
        </w:rPr>
        <w:t xml:space="preserve"> naar welke mogelijkheden de ouders en</w:t>
      </w:r>
      <w:r w:rsidR="0047354E" w:rsidRPr="00F24FC0">
        <w:rPr>
          <w:szCs w:val="20"/>
        </w:rPr>
        <w:t xml:space="preserve"> de</w:t>
      </w:r>
      <w:r w:rsidRPr="00F24FC0">
        <w:rPr>
          <w:szCs w:val="20"/>
        </w:rPr>
        <w:t xml:space="preserve"> jeugdige in hun eigen leefwereld en netwerk kunnen vinden om </w:t>
      </w:r>
      <w:r w:rsidR="006D452C" w:rsidRPr="00F24FC0">
        <w:rPr>
          <w:szCs w:val="20"/>
        </w:rPr>
        <w:t>de</w:t>
      </w:r>
      <w:r w:rsidRPr="00F24FC0">
        <w:rPr>
          <w:szCs w:val="20"/>
        </w:rPr>
        <w:t xml:space="preserve"> hulpvraag op te lossen. </w:t>
      </w:r>
      <w:r w:rsidR="000D73CE" w:rsidRPr="00F24FC0">
        <w:rPr>
          <w:szCs w:val="20"/>
        </w:rPr>
        <w:t>Normalisering is het uitgangspunt. Dus: verzorging, opvoeding en opvang door de ouders en het netwerk van de jeugdige.</w:t>
      </w:r>
      <w:r w:rsidR="00434C6C" w:rsidRPr="00F24FC0">
        <w:rPr>
          <w:szCs w:val="20"/>
        </w:rPr>
        <w:t xml:space="preserve"> Kijk hierbij naar de beschikbaarheid van de ouders en het netwerk, of zij kunnen schuiven in hun werk- en / of studietijden en of er mogelijk sprake is van overbelasting in het gezin.</w:t>
      </w:r>
    </w:p>
    <w:p w14:paraId="5B08AF59" w14:textId="59E2B705" w:rsidR="008F44A2" w:rsidRPr="00F24FC0" w:rsidRDefault="00983413" w:rsidP="00983413">
      <w:pPr>
        <w:pStyle w:val="Lijstalinea"/>
        <w:numPr>
          <w:ilvl w:val="0"/>
          <w:numId w:val="6"/>
        </w:numPr>
        <w:ind w:left="709"/>
        <w:rPr>
          <w:szCs w:val="20"/>
        </w:rPr>
      </w:pPr>
      <w:r w:rsidRPr="00F24FC0">
        <w:rPr>
          <w:szCs w:val="20"/>
        </w:rPr>
        <w:t>Vervolgens wordt onderzocht of relevante lokale voorliggende voorzieningen een oplossing bieden, v</w:t>
      </w:r>
      <w:r w:rsidR="00D94408" w:rsidRPr="00F24FC0">
        <w:rPr>
          <w:szCs w:val="20"/>
        </w:rPr>
        <w:t>óó</w:t>
      </w:r>
      <w:r w:rsidRPr="00F24FC0">
        <w:rPr>
          <w:szCs w:val="20"/>
        </w:rPr>
        <w:t xml:space="preserve">rdat </w:t>
      </w:r>
      <w:r w:rsidR="00D94408" w:rsidRPr="00F24FC0">
        <w:rPr>
          <w:szCs w:val="20"/>
        </w:rPr>
        <w:t xml:space="preserve">overwogen wordt om </w:t>
      </w:r>
      <w:r w:rsidRPr="00F24FC0">
        <w:rPr>
          <w:szCs w:val="20"/>
        </w:rPr>
        <w:t xml:space="preserve">BSO+ of specialistische jeugdhulp </w:t>
      </w:r>
      <w:r w:rsidR="00D94408" w:rsidRPr="00F24FC0">
        <w:rPr>
          <w:szCs w:val="20"/>
        </w:rPr>
        <w:t>toe te wijzen</w:t>
      </w:r>
      <w:r w:rsidRPr="00F24FC0">
        <w:rPr>
          <w:szCs w:val="20"/>
        </w:rPr>
        <w:t xml:space="preserve">. Denk </w:t>
      </w:r>
      <w:r w:rsidR="002601F2" w:rsidRPr="00F24FC0">
        <w:rPr>
          <w:szCs w:val="20"/>
        </w:rPr>
        <w:t xml:space="preserve">bijvoorbeeld </w:t>
      </w:r>
      <w:r w:rsidRPr="00F24FC0">
        <w:rPr>
          <w:szCs w:val="20"/>
        </w:rPr>
        <w:t>aan: (zorg)oppas of vrijetijdsbesteding zoals verenigingen of sportclubs.</w:t>
      </w:r>
    </w:p>
    <w:p w14:paraId="530B101E" w14:textId="699423A4" w:rsidR="002601F2" w:rsidRPr="00F24FC0" w:rsidRDefault="002601F2" w:rsidP="00983413">
      <w:pPr>
        <w:pStyle w:val="Lijstalinea"/>
        <w:numPr>
          <w:ilvl w:val="0"/>
          <w:numId w:val="6"/>
        </w:numPr>
        <w:ind w:left="709"/>
        <w:rPr>
          <w:szCs w:val="20"/>
        </w:rPr>
      </w:pPr>
      <w:r w:rsidRPr="00F24FC0">
        <w:rPr>
          <w:szCs w:val="20"/>
        </w:rPr>
        <w:t>Er zijn jeugdigen die vanwege een extra ondersteuningsbehoefte niet op een reguliere kinderopvang terecht kunnen. Indien het netwerk of de voorliggende voorziening geen oplossing bieden voor de</w:t>
      </w:r>
      <w:r w:rsidR="00D94408" w:rsidRPr="00F24FC0">
        <w:rPr>
          <w:szCs w:val="20"/>
        </w:rPr>
        <w:t>ze</w:t>
      </w:r>
      <w:r w:rsidRPr="00F24FC0">
        <w:rPr>
          <w:szCs w:val="20"/>
        </w:rPr>
        <w:t xml:space="preserve"> opvan</w:t>
      </w:r>
      <w:r w:rsidR="00D94408" w:rsidRPr="00F24FC0">
        <w:rPr>
          <w:szCs w:val="20"/>
        </w:rPr>
        <w:t>gbehoefte</w:t>
      </w:r>
      <w:r w:rsidRPr="00F24FC0">
        <w:rPr>
          <w:szCs w:val="20"/>
        </w:rPr>
        <w:t>, is er voor deze doelgroep BSO+</w:t>
      </w:r>
      <w:r w:rsidR="00D94408" w:rsidRPr="00F24FC0">
        <w:rPr>
          <w:szCs w:val="20"/>
        </w:rPr>
        <w:t xml:space="preserve"> beschikbaar</w:t>
      </w:r>
      <w:r w:rsidRPr="00F24FC0">
        <w:rPr>
          <w:szCs w:val="20"/>
        </w:rPr>
        <w:t xml:space="preserve">. Voor meer informatie over BSO+, zie de </w:t>
      </w:r>
      <w:hyperlink r:id="rId8" w:history="1">
        <w:r w:rsidRPr="00F24FC0">
          <w:rPr>
            <w:rStyle w:val="Hyperlink"/>
            <w:szCs w:val="20"/>
          </w:rPr>
          <w:t>website</w:t>
        </w:r>
      </w:hyperlink>
      <w:r w:rsidRPr="00F24FC0">
        <w:rPr>
          <w:szCs w:val="20"/>
        </w:rPr>
        <w:t>.</w:t>
      </w:r>
      <w:r w:rsidR="00A71F4B" w:rsidRPr="00F24FC0">
        <w:rPr>
          <w:szCs w:val="20"/>
        </w:rPr>
        <w:t xml:space="preserve"> In geval van BSO+ voor jeugdigen in een rolstoel of met ernstige meervoudige </w:t>
      </w:r>
      <w:r w:rsidR="00A71F4B">
        <w:rPr>
          <w:szCs w:val="20"/>
        </w:rPr>
        <w:t>beperking</w:t>
      </w:r>
      <w:r w:rsidR="00A71F4B" w:rsidRPr="00F24FC0">
        <w:rPr>
          <w:szCs w:val="20"/>
        </w:rPr>
        <w:t>, wordt dagbegeleiding beschikt, omdat</w:t>
      </w:r>
      <w:r w:rsidR="00A71F4B">
        <w:rPr>
          <w:szCs w:val="20"/>
        </w:rPr>
        <w:t xml:space="preserve"> BSO+ voor</w:t>
      </w:r>
      <w:r w:rsidR="00A71F4B" w:rsidRPr="00F24FC0">
        <w:rPr>
          <w:szCs w:val="20"/>
        </w:rPr>
        <w:t xml:space="preserve"> deze doelgroep</w:t>
      </w:r>
      <w:r w:rsidR="00A71F4B">
        <w:rPr>
          <w:szCs w:val="20"/>
        </w:rPr>
        <w:t xml:space="preserve"> niet is meegenomen in</w:t>
      </w:r>
      <w:r w:rsidR="00A71F4B" w:rsidRPr="00F24FC0">
        <w:rPr>
          <w:szCs w:val="20"/>
        </w:rPr>
        <w:t xml:space="preserve"> de subsidieafspraken met de BSO+ aanbieders.</w:t>
      </w:r>
    </w:p>
    <w:p w14:paraId="21FE5D21" w14:textId="1335F1F9" w:rsidR="00434C6C" w:rsidRPr="00F24FC0" w:rsidRDefault="00434C6C" w:rsidP="00DD19FA">
      <w:pPr>
        <w:pStyle w:val="Lijstalinea"/>
        <w:numPr>
          <w:ilvl w:val="0"/>
          <w:numId w:val="6"/>
        </w:numPr>
        <w:rPr>
          <w:szCs w:val="20"/>
        </w:rPr>
      </w:pPr>
      <w:r w:rsidRPr="00F24FC0">
        <w:rPr>
          <w:szCs w:val="20"/>
        </w:rPr>
        <w:t>Respijtzorg is geen kinderopvang/BSO+ en het mag daarom ook niet als zodanig worden ingezet. Respijtzorg is tijdelijk (in principe voor maximaal één jaar). Respijtzorg wordt enkel ingezet indien ontlasting noodzakelijk is en het hoofddoel is i.v.m. (toenemende dreiging op) overbelasting van de ouders of het gezin en ontlasting niet of onvoldoende met BSO+/kinderopvang en/of middels inzet vanuit het sociale netwerk wordt bereikt.</w:t>
      </w:r>
    </w:p>
    <w:p w14:paraId="5F478C2D" w14:textId="3CD8F258" w:rsidR="008F44A2" w:rsidRPr="00F24FC0" w:rsidRDefault="00434C6C" w:rsidP="000D73CE">
      <w:pPr>
        <w:pStyle w:val="Lijstalinea"/>
        <w:numPr>
          <w:ilvl w:val="0"/>
          <w:numId w:val="6"/>
        </w:numPr>
        <w:rPr>
          <w:szCs w:val="20"/>
        </w:rPr>
      </w:pPr>
      <w:r w:rsidRPr="00F24FC0">
        <w:rPr>
          <w:szCs w:val="20"/>
        </w:rPr>
        <w:t>Dagbegeleiding staat inhoudelijk los van de kinderopvang/BSO+. Immers, zodra opvang/ontlasting het hoofddoel is, dan is er sprake van kinderopvang/BSO+/respijtzorg. Dagbegeleiding is wel in onderstaande schema opgenomen, om te laten zien in welk opzicht zich dat onderscheid van de reguliere kinderopvang, BSO+ en respijtzorg.</w:t>
      </w:r>
    </w:p>
    <w:p w14:paraId="69D5F4A1" w14:textId="77777777" w:rsidR="00434C6C" w:rsidRPr="00434C6C" w:rsidRDefault="00434C6C" w:rsidP="00434C6C">
      <w:pPr>
        <w:pStyle w:val="Geenafstand"/>
        <w:rPr>
          <w:sz w:val="14"/>
          <w:szCs w:val="14"/>
        </w:rPr>
      </w:pPr>
    </w:p>
    <w:tbl>
      <w:tblPr>
        <w:tblStyle w:val="Tabelraster"/>
        <w:tblpPr w:leftFromText="141" w:rightFromText="141" w:vertAnchor="page" w:horzAnchor="margin" w:tblpY="6809"/>
        <w:tblW w:w="14454" w:type="dxa"/>
        <w:tblLayout w:type="fixed"/>
        <w:tblLook w:val="04A0" w:firstRow="1" w:lastRow="0" w:firstColumn="1" w:lastColumn="0" w:noHBand="0" w:noVBand="1"/>
      </w:tblPr>
      <w:tblGrid>
        <w:gridCol w:w="1413"/>
        <w:gridCol w:w="2268"/>
        <w:gridCol w:w="3402"/>
        <w:gridCol w:w="3260"/>
        <w:gridCol w:w="4111"/>
      </w:tblGrid>
      <w:tr w:rsidR="00336093" w:rsidRPr="00E41759" w14:paraId="6D029A2C" w14:textId="77777777" w:rsidTr="00336093">
        <w:tc>
          <w:tcPr>
            <w:tcW w:w="1413" w:type="dxa"/>
          </w:tcPr>
          <w:p w14:paraId="4DEA15AE" w14:textId="77777777" w:rsidR="00336093" w:rsidRDefault="00336093" w:rsidP="00336093"/>
        </w:tc>
        <w:tc>
          <w:tcPr>
            <w:tcW w:w="2268" w:type="dxa"/>
            <w:shd w:val="clear" w:color="auto" w:fill="DAEEF3" w:themeFill="accent5" w:themeFillTint="33"/>
            <w:vAlign w:val="center"/>
          </w:tcPr>
          <w:p w14:paraId="284E91F3" w14:textId="77777777" w:rsidR="00336093" w:rsidRPr="00E41759" w:rsidRDefault="00336093" w:rsidP="00336093">
            <w:pPr>
              <w:jc w:val="center"/>
              <w:rPr>
                <w:b/>
                <w:bCs/>
              </w:rPr>
            </w:pPr>
            <w:r w:rsidRPr="00134A90">
              <w:rPr>
                <w:b/>
                <w:bCs/>
              </w:rPr>
              <w:t>Kinderopvang</w:t>
            </w:r>
          </w:p>
        </w:tc>
        <w:tc>
          <w:tcPr>
            <w:tcW w:w="3402" w:type="dxa"/>
            <w:shd w:val="clear" w:color="auto" w:fill="A7D6E3"/>
            <w:vAlign w:val="center"/>
          </w:tcPr>
          <w:p w14:paraId="6941D3AB" w14:textId="77777777" w:rsidR="00336093" w:rsidRPr="00E41759" w:rsidRDefault="00336093" w:rsidP="00336093">
            <w:pPr>
              <w:jc w:val="center"/>
              <w:rPr>
                <w:b/>
                <w:bCs/>
              </w:rPr>
            </w:pPr>
            <w:r w:rsidRPr="00E41759">
              <w:rPr>
                <w:b/>
                <w:bCs/>
              </w:rPr>
              <w:t>B</w:t>
            </w:r>
            <w:r>
              <w:rPr>
                <w:b/>
                <w:bCs/>
              </w:rPr>
              <w:t>SO</w:t>
            </w:r>
            <w:r w:rsidRPr="00E41759">
              <w:rPr>
                <w:b/>
                <w:bCs/>
              </w:rPr>
              <w:t>+</w:t>
            </w:r>
          </w:p>
        </w:tc>
        <w:tc>
          <w:tcPr>
            <w:tcW w:w="3260" w:type="dxa"/>
            <w:shd w:val="clear" w:color="auto" w:fill="7AC1D4"/>
            <w:vAlign w:val="center"/>
          </w:tcPr>
          <w:p w14:paraId="1D623066" w14:textId="77777777" w:rsidR="00336093" w:rsidRPr="00E41759" w:rsidRDefault="00336093" w:rsidP="00336093">
            <w:pPr>
              <w:jc w:val="center"/>
              <w:rPr>
                <w:b/>
                <w:bCs/>
              </w:rPr>
            </w:pPr>
            <w:r>
              <w:rPr>
                <w:b/>
                <w:bCs/>
              </w:rPr>
              <w:t>Respijtzorg</w:t>
            </w:r>
            <w:r>
              <w:rPr>
                <w:b/>
                <w:bCs/>
              </w:rPr>
              <w:br/>
            </w:r>
            <w:r w:rsidRPr="00E41759">
              <w:rPr>
                <w:b/>
                <w:bCs/>
              </w:rPr>
              <w:t>(</w:t>
            </w:r>
            <w:r w:rsidRPr="00134A90">
              <w:rPr>
                <w:b/>
                <w:bCs/>
              </w:rPr>
              <w:t>specialistische</w:t>
            </w:r>
            <w:r>
              <w:rPr>
                <w:b/>
                <w:bCs/>
              </w:rPr>
              <w:t xml:space="preserve"> </w:t>
            </w:r>
            <w:r w:rsidRPr="00E41759">
              <w:rPr>
                <w:b/>
                <w:bCs/>
              </w:rPr>
              <w:t>jeugdhulp)</w:t>
            </w:r>
          </w:p>
        </w:tc>
        <w:tc>
          <w:tcPr>
            <w:tcW w:w="4111" w:type="dxa"/>
            <w:shd w:val="clear" w:color="auto" w:fill="3DA2BD"/>
            <w:vAlign w:val="center"/>
          </w:tcPr>
          <w:p w14:paraId="5AE77466" w14:textId="77777777" w:rsidR="00336093" w:rsidRDefault="00336093" w:rsidP="00336093">
            <w:pPr>
              <w:jc w:val="center"/>
              <w:rPr>
                <w:b/>
                <w:bCs/>
              </w:rPr>
            </w:pPr>
            <w:r w:rsidRPr="00E41759">
              <w:rPr>
                <w:b/>
                <w:bCs/>
              </w:rPr>
              <w:t>Dagbe</w:t>
            </w:r>
            <w:r>
              <w:rPr>
                <w:b/>
                <w:bCs/>
              </w:rPr>
              <w:t>ge</w:t>
            </w:r>
            <w:r w:rsidRPr="00E41759">
              <w:rPr>
                <w:b/>
                <w:bCs/>
              </w:rPr>
              <w:t>leiding</w:t>
            </w:r>
            <w:r>
              <w:rPr>
                <w:rStyle w:val="Voetnootmarkering"/>
                <w:b/>
                <w:bCs/>
              </w:rPr>
              <w:footnoteReference w:id="1"/>
            </w:r>
          </w:p>
          <w:p w14:paraId="7C69417F" w14:textId="77777777" w:rsidR="00336093" w:rsidRPr="00E41759" w:rsidRDefault="00336093" w:rsidP="00336093">
            <w:pPr>
              <w:jc w:val="center"/>
              <w:rPr>
                <w:b/>
                <w:bCs/>
              </w:rPr>
            </w:pPr>
            <w:r w:rsidRPr="00E41759">
              <w:rPr>
                <w:b/>
                <w:bCs/>
              </w:rPr>
              <w:t>(</w:t>
            </w:r>
            <w:r>
              <w:rPr>
                <w:b/>
                <w:bCs/>
              </w:rPr>
              <w:t xml:space="preserve">specialistische </w:t>
            </w:r>
            <w:r w:rsidRPr="00E41759">
              <w:rPr>
                <w:b/>
                <w:bCs/>
              </w:rPr>
              <w:t>jeugdhulp)</w:t>
            </w:r>
          </w:p>
        </w:tc>
      </w:tr>
      <w:tr w:rsidR="00336093" w14:paraId="25F863E9" w14:textId="77777777" w:rsidTr="00336093">
        <w:tc>
          <w:tcPr>
            <w:tcW w:w="1413" w:type="dxa"/>
            <w:vAlign w:val="center"/>
          </w:tcPr>
          <w:p w14:paraId="17E17FB3" w14:textId="77777777" w:rsidR="00336093" w:rsidRPr="00195C2A" w:rsidRDefault="00336093" w:rsidP="00336093">
            <w:pPr>
              <w:rPr>
                <w:b/>
                <w:bCs/>
              </w:rPr>
            </w:pPr>
            <w:r w:rsidRPr="00195C2A">
              <w:rPr>
                <w:b/>
                <w:bCs/>
              </w:rPr>
              <w:t xml:space="preserve">Leeftijd </w:t>
            </w:r>
            <w:r>
              <w:rPr>
                <w:b/>
                <w:bCs/>
              </w:rPr>
              <w:t>jeugdige</w:t>
            </w:r>
          </w:p>
        </w:tc>
        <w:tc>
          <w:tcPr>
            <w:tcW w:w="2268" w:type="dxa"/>
            <w:shd w:val="clear" w:color="auto" w:fill="DAEEF3" w:themeFill="accent5" w:themeFillTint="33"/>
            <w:vAlign w:val="center"/>
          </w:tcPr>
          <w:p w14:paraId="40ECB74A" w14:textId="77777777" w:rsidR="00336093" w:rsidRDefault="00336093" w:rsidP="00336093">
            <w:r>
              <w:t xml:space="preserve">0 jaar tot einde basisschool periode </w:t>
            </w:r>
          </w:p>
        </w:tc>
        <w:tc>
          <w:tcPr>
            <w:tcW w:w="3402" w:type="dxa"/>
            <w:shd w:val="clear" w:color="auto" w:fill="A7D6E3"/>
            <w:vAlign w:val="center"/>
          </w:tcPr>
          <w:p w14:paraId="544073BD" w14:textId="77777777" w:rsidR="00336093" w:rsidRDefault="00336093" w:rsidP="00336093">
            <w:r>
              <w:t xml:space="preserve">Basisschool periode </w:t>
            </w:r>
          </w:p>
        </w:tc>
        <w:tc>
          <w:tcPr>
            <w:tcW w:w="3260" w:type="dxa"/>
            <w:shd w:val="clear" w:color="auto" w:fill="7AC1D4"/>
            <w:vAlign w:val="center"/>
          </w:tcPr>
          <w:p w14:paraId="47A4FC0A" w14:textId="77777777" w:rsidR="00336093" w:rsidRDefault="00336093" w:rsidP="00336093">
            <w:r>
              <w:t xml:space="preserve">0-18 jaar </w:t>
            </w:r>
          </w:p>
        </w:tc>
        <w:tc>
          <w:tcPr>
            <w:tcW w:w="4111" w:type="dxa"/>
            <w:shd w:val="clear" w:color="auto" w:fill="3DA2BD"/>
            <w:vAlign w:val="center"/>
          </w:tcPr>
          <w:p w14:paraId="1F65F86E" w14:textId="77777777" w:rsidR="00336093" w:rsidRDefault="00336093" w:rsidP="00336093">
            <w:r>
              <w:t xml:space="preserve">0-18 jaar </w:t>
            </w:r>
          </w:p>
        </w:tc>
      </w:tr>
      <w:tr w:rsidR="00336093" w14:paraId="2B1A3CE1" w14:textId="77777777" w:rsidTr="00336093">
        <w:tc>
          <w:tcPr>
            <w:tcW w:w="1413" w:type="dxa"/>
            <w:vAlign w:val="center"/>
          </w:tcPr>
          <w:p w14:paraId="451DB437" w14:textId="77777777" w:rsidR="00336093" w:rsidRPr="00195C2A" w:rsidRDefault="00336093" w:rsidP="00336093">
            <w:pPr>
              <w:rPr>
                <w:b/>
                <w:bCs/>
              </w:rPr>
            </w:pPr>
            <w:r w:rsidRPr="00195C2A">
              <w:rPr>
                <w:b/>
                <w:bCs/>
              </w:rPr>
              <w:t>Type onderwijs</w:t>
            </w:r>
          </w:p>
        </w:tc>
        <w:tc>
          <w:tcPr>
            <w:tcW w:w="2268" w:type="dxa"/>
            <w:shd w:val="clear" w:color="auto" w:fill="DAEEF3" w:themeFill="accent5" w:themeFillTint="33"/>
            <w:vAlign w:val="center"/>
          </w:tcPr>
          <w:p w14:paraId="1F978244" w14:textId="77777777" w:rsidR="00336093" w:rsidRDefault="00336093" w:rsidP="00336093">
            <w:r>
              <w:t>Alle onderwijstypen</w:t>
            </w:r>
          </w:p>
        </w:tc>
        <w:tc>
          <w:tcPr>
            <w:tcW w:w="3402" w:type="dxa"/>
            <w:shd w:val="clear" w:color="auto" w:fill="A7D6E3"/>
            <w:vAlign w:val="center"/>
          </w:tcPr>
          <w:p w14:paraId="126D2DD8" w14:textId="3DC7C5DE" w:rsidR="00336093" w:rsidRDefault="00336093" w:rsidP="00336093">
            <w:r>
              <w:t>SBO / SO</w:t>
            </w:r>
            <w:r w:rsidR="00B3177E">
              <w:t xml:space="preserve"> / VSO</w:t>
            </w:r>
          </w:p>
        </w:tc>
        <w:tc>
          <w:tcPr>
            <w:tcW w:w="3260" w:type="dxa"/>
            <w:shd w:val="clear" w:color="auto" w:fill="7AC1D4"/>
            <w:vAlign w:val="center"/>
          </w:tcPr>
          <w:p w14:paraId="0184615C" w14:textId="77777777" w:rsidR="00336093" w:rsidRDefault="00336093" w:rsidP="00336093">
            <w:r>
              <w:t>Alle onderwijstypen</w:t>
            </w:r>
          </w:p>
        </w:tc>
        <w:tc>
          <w:tcPr>
            <w:tcW w:w="4111" w:type="dxa"/>
            <w:shd w:val="clear" w:color="auto" w:fill="3DA2BD"/>
            <w:vAlign w:val="center"/>
          </w:tcPr>
          <w:p w14:paraId="4E97A824" w14:textId="77777777" w:rsidR="00336093" w:rsidRDefault="00336093" w:rsidP="00336093">
            <w:r>
              <w:t>Alle onderwijstypen</w:t>
            </w:r>
          </w:p>
        </w:tc>
      </w:tr>
      <w:tr w:rsidR="00336093" w14:paraId="63CF5850" w14:textId="77777777" w:rsidTr="00336093">
        <w:tc>
          <w:tcPr>
            <w:tcW w:w="1413" w:type="dxa"/>
            <w:vAlign w:val="center"/>
          </w:tcPr>
          <w:p w14:paraId="289E53D7" w14:textId="77777777" w:rsidR="00336093" w:rsidRPr="00195C2A" w:rsidRDefault="00336093" w:rsidP="00336093">
            <w:pPr>
              <w:rPr>
                <w:b/>
                <w:bCs/>
              </w:rPr>
            </w:pPr>
            <w:r w:rsidRPr="00195C2A">
              <w:rPr>
                <w:b/>
                <w:bCs/>
              </w:rPr>
              <w:t>Doelgroep</w:t>
            </w:r>
          </w:p>
        </w:tc>
        <w:tc>
          <w:tcPr>
            <w:tcW w:w="2268" w:type="dxa"/>
            <w:shd w:val="clear" w:color="auto" w:fill="DAEEF3" w:themeFill="accent5" w:themeFillTint="33"/>
            <w:vAlign w:val="center"/>
          </w:tcPr>
          <w:p w14:paraId="5D031940" w14:textId="77777777" w:rsidR="00336093" w:rsidRDefault="00336093" w:rsidP="00336093">
            <w:r>
              <w:t>Opvanglocatie bepaalt zelf welke jeugdigen ze toelaten.</w:t>
            </w:r>
          </w:p>
        </w:tc>
        <w:tc>
          <w:tcPr>
            <w:tcW w:w="3402" w:type="dxa"/>
            <w:shd w:val="clear" w:color="auto" w:fill="A7D6E3"/>
            <w:vAlign w:val="center"/>
          </w:tcPr>
          <w:p w14:paraId="5AEC844A" w14:textId="77777777" w:rsidR="00336093" w:rsidRDefault="00336093" w:rsidP="00336093">
            <w:pPr>
              <w:pStyle w:val="Lijstalinea"/>
              <w:numPr>
                <w:ilvl w:val="0"/>
                <w:numId w:val="1"/>
              </w:numPr>
              <w:ind w:left="371"/>
            </w:pPr>
            <w:r>
              <w:t>Jeugdigen die niet terecht kunnen op de kinderopvang vanwege hun extra ondersteuningsbehoefte</w:t>
            </w:r>
            <w:r>
              <w:rPr>
                <w:rStyle w:val="Voetnootmarkering"/>
              </w:rPr>
              <w:footnoteReference w:id="2"/>
            </w:r>
          </w:p>
          <w:p w14:paraId="3E9BF522" w14:textId="77777777" w:rsidR="00336093" w:rsidRDefault="00336093" w:rsidP="00336093">
            <w:pPr>
              <w:pStyle w:val="Lijstalinea"/>
              <w:numPr>
                <w:ilvl w:val="0"/>
                <w:numId w:val="1"/>
              </w:numPr>
              <w:ind w:left="371"/>
            </w:pPr>
            <w:r>
              <w:t>Niet rolstoelgebonden</w:t>
            </w:r>
          </w:p>
          <w:p w14:paraId="0017E290" w14:textId="77777777" w:rsidR="00336093" w:rsidRDefault="00336093" w:rsidP="00336093">
            <w:pPr>
              <w:pStyle w:val="Lijstalinea"/>
              <w:numPr>
                <w:ilvl w:val="0"/>
                <w:numId w:val="1"/>
              </w:numPr>
              <w:ind w:left="371"/>
            </w:pPr>
            <w:r>
              <w:t>Niet ernstig meervoudig beperkt</w:t>
            </w:r>
          </w:p>
        </w:tc>
        <w:tc>
          <w:tcPr>
            <w:tcW w:w="3260" w:type="dxa"/>
            <w:shd w:val="clear" w:color="auto" w:fill="7AC1D4"/>
            <w:vAlign w:val="center"/>
          </w:tcPr>
          <w:p w14:paraId="2F5B4D2F" w14:textId="77777777" w:rsidR="00336093" w:rsidRDefault="00336093" w:rsidP="00336093">
            <w:pPr>
              <w:pStyle w:val="Lijstalinea"/>
              <w:numPr>
                <w:ilvl w:val="0"/>
                <w:numId w:val="1"/>
              </w:numPr>
              <w:ind w:left="321"/>
            </w:pPr>
            <w:r>
              <w:t>Sprake van (toenemende dreiging op) overbelasting van ouders of de jeugdige</w:t>
            </w:r>
          </w:p>
          <w:p w14:paraId="5CACD79F" w14:textId="77777777" w:rsidR="00336093" w:rsidRDefault="00336093" w:rsidP="00336093">
            <w:pPr>
              <w:pStyle w:val="Lijstalinea"/>
              <w:numPr>
                <w:ilvl w:val="0"/>
                <w:numId w:val="1"/>
              </w:numPr>
              <w:ind w:left="321"/>
            </w:pPr>
            <w:r>
              <w:t>De voorliggende voorzieningen zijn niet toereikend</w:t>
            </w:r>
          </w:p>
        </w:tc>
        <w:tc>
          <w:tcPr>
            <w:tcW w:w="4111" w:type="dxa"/>
            <w:shd w:val="clear" w:color="auto" w:fill="3DA2BD"/>
            <w:vAlign w:val="center"/>
          </w:tcPr>
          <w:p w14:paraId="6DD8C42D" w14:textId="77777777" w:rsidR="00336093" w:rsidRDefault="00336093" w:rsidP="00336093">
            <w:pPr>
              <w:pStyle w:val="Lijstalinea"/>
              <w:numPr>
                <w:ilvl w:val="0"/>
                <w:numId w:val="5"/>
              </w:numPr>
              <w:ind w:left="312"/>
            </w:pPr>
            <w:r>
              <w:t>Jeugdigen met een hulpvraag gericht op het stimuleren en aanleren van sociale en praktische vaardigheden om de zelfredzaamheid te vergroten.</w:t>
            </w:r>
          </w:p>
          <w:p w14:paraId="2FEAF540" w14:textId="77777777" w:rsidR="00336093" w:rsidRDefault="00336093" w:rsidP="00336093">
            <w:pPr>
              <w:pStyle w:val="Lijstalinea"/>
              <w:numPr>
                <w:ilvl w:val="0"/>
                <w:numId w:val="5"/>
              </w:numPr>
              <w:ind w:left="312"/>
            </w:pPr>
            <w:r>
              <w:t>De voorliggende voorzieningen zijn niet toereikend</w:t>
            </w:r>
          </w:p>
        </w:tc>
      </w:tr>
      <w:tr w:rsidR="00336093" w14:paraId="2DD8A75C" w14:textId="77777777" w:rsidTr="00336093">
        <w:tc>
          <w:tcPr>
            <w:tcW w:w="1413" w:type="dxa"/>
            <w:vAlign w:val="center"/>
          </w:tcPr>
          <w:p w14:paraId="247BDA84" w14:textId="77777777" w:rsidR="00336093" w:rsidRPr="00195C2A" w:rsidRDefault="00336093" w:rsidP="00336093">
            <w:pPr>
              <w:rPr>
                <w:b/>
                <w:bCs/>
              </w:rPr>
            </w:pPr>
            <w:r w:rsidRPr="00195C2A">
              <w:rPr>
                <w:b/>
                <w:bCs/>
              </w:rPr>
              <w:t>Tijdstip</w:t>
            </w:r>
          </w:p>
        </w:tc>
        <w:tc>
          <w:tcPr>
            <w:tcW w:w="2268" w:type="dxa"/>
            <w:shd w:val="clear" w:color="auto" w:fill="DAEEF3" w:themeFill="accent5" w:themeFillTint="33"/>
            <w:vAlign w:val="center"/>
          </w:tcPr>
          <w:p w14:paraId="3E7AD18B" w14:textId="77777777" w:rsidR="00336093" w:rsidRDefault="00336093" w:rsidP="00336093">
            <w:r>
              <w:t>Maandag t/m vrijdag</w:t>
            </w:r>
          </w:p>
        </w:tc>
        <w:tc>
          <w:tcPr>
            <w:tcW w:w="3402" w:type="dxa"/>
            <w:shd w:val="clear" w:color="auto" w:fill="A7D6E3"/>
            <w:vAlign w:val="center"/>
          </w:tcPr>
          <w:p w14:paraId="08C5A84D" w14:textId="77777777" w:rsidR="00336093" w:rsidRDefault="00336093" w:rsidP="00336093">
            <w:r>
              <w:t>Maandag t/m vrijdag</w:t>
            </w:r>
          </w:p>
        </w:tc>
        <w:tc>
          <w:tcPr>
            <w:tcW w:w="3260" w:type="dxa"/>
            <w:shd w:val="clear" w:color="auto" w:fill="7AC1D4"/>
            <w:vAlign w:val="center"/>
          </w:tcPr>
          <w:p w14:paraId="21D64D8B" w14:textId="77777777" w:rsidR="00336093" w:rsidRDefault="00336093" w:rsidP="00336093">
            <w:r>
              <w:t>Vrijdagavond t/m zondagmiddag (in de vakantieperiodes kan het ook doordeweeks)</w:t>
            </w:r>
          </w:p>
        </w:tc>
        <w:tc>
          <w:tcPr>
            <w:tcW w:w="4111" w:type="dxa"/>
            <w:shd w:val="clear" w:color="auto" w:fill="3DA2BD"/>
            <w:vAlign w:val="center"/>
          </w:tcPr>
          <w:p w14:paraId="3569907C" w14:textId="77777777" w:rsidR="00336093" w:rsidRDefault="00336093" w:rsidP="00336093">
            <w:r>
              <w:t>Maandag t/m zaterdag</w:t>
            </w:r>
          </w:p>
        </w:tc>
      </w:tr>
    </w:tbl>
    <w:p w14:paraId="3263770A" w14:textId="2563EBCA" w:rsidR="00507CCC" w:rsidRPr="00F24FC0" w:rsidRDefault="00983413" w:rsidP="00BA1B56">
      <w:pPr>
        <w:rPr>
          <w:szCs w:val="20"/>
        </w:rPr>
      </w:pPr>
      <w:r w:rsidRPr="00F24FC0">
        <w:rPr>
          <w:szCs w:val="20"/>
        </w:rPr>
        <w:t>Voor de afbakening, zie onderstaand schema:</w:t>
      </w:r>
    </w:p>
    <w:tbl>
      <w:tblPr>
        <w:tblStyle w:val="Tabelraster"/>
        <w:tblpPr w:leftFromText="141" w:rightFromText="141" w:vertAnchor="page" w:horzAnchor="margin" w:tblpY="1879"/>
        <w:tblW w:w="14454" w:type="dxa"/>
        <w:tblLayout w:type="fixed"/>
        <w:tblLook w:val="04A0" w:firstRow="1" w:lastRow="0" w:firstColumn="1" w:lastColumn="0" w:noHBand="0" w:noVBand="1"/>
      </w:tblPr>
      <w:tblGrid>
        <w:gridCol w:w="1555"/>
        <w:gridCol w:w="2409"/>
        <w:gridCol w:w="3119"/>
        <w:gridCol w:w="3685"/>
        <w:gridCol w:w="3686"/>
      </w:tblGrid>
      <w:tr w:rsidR="00195C2A" w14:paraId="56DA1310" w14:textId="77777777" w:rsidTr="002E23A3">
        <w:tc>
          <w:tcPr>
            <w:tcW w:w="1555" w:type="dxa"/>
          </w:tcPr>
          <w:p w14:paraId="0B93F19A" w14:textId="77777777" w:rsidR="00195C2A" w:rsidRDefault="00195C2A" w:rsidP="002E23A3"/>
        </w:tc>
        <w:tc>
          <w:tcPr>
            <w:tcW w:w="2409" w:type="dxa"/>
            <w:shd w:val="clear" w:color="auto" w:fill="DAEEF3" w:themeFill="accent5" w:themeFillTint="33"/>
            <w:vAlign w:val="center"/>
          </w:tcPr>
          <w:p w14:paraId="45A84D27" w14:textId="20A9A144" w:rsidR="00195C2A" w:rsidRPr="00E41759" w:rsidRDefault="00B6286B" w:rsidP="002E23A3">
            <w:pPr>
              <w:jc w:val="center"/>
              <w:rPr>
                <w:b/>
                <w:bCs/>
              </w:rPr>
            </w:pPr>
            <w:r>
              <w:rPr>
                <w:b/>
                <w:bCs/>
              </w:rPr>
              <w:t>Kinderopvang</w:t>
            </w:r>
          </w:p>
        </w:tc>
        <w:tc>
          <w:tcPr>
            <w:tcW w:w="3119" w:type="dxa"/>
            <w:shd w:val="clear" w:color="auto" w:fill="A7D6E3"/>
            <w:vAlign w:val="center"/>
          </w:tcPr>
          <w:p w14:paraId="64A4B173" w14:textId="77777777" w:rsidR="00195C2A" w:rsidRPr="00E41759" w:rsidRDefault="00195C2A" w:rsidP="002E23A3">
            <w:pPr>
              <w:jc w:val="center"/>
              <w:rPr>
                <w:b/>
                <w:bCs/>
              </w:rPr>
            </w:pPr>
            <w:r w:rsidRPr="00E41759">
              <w:rPr>
                <w:b/>
                <w:bCs/>
              </w:rPr>
              <w:t>B</w:t>
            </w:r>
            <w:r>
              <w:rPr>
                <w:b/>
                <w:bCs/>
              </w:rPr>
              <w:t>SO</w:t>
            </w:r>
            <w:r w:rsidRPr="00E41759">
              <w:rPr>
                <w:b/>
                <w:bCs/>
              </w:rPr>
              <w:t>+</w:t>
            </w:r>
          </w:p>
        </w:tc>
        <w:tc>
          <w:tcPr>
            <w:tcW w:w="3685" w:type="dxa"/>
            <w:shd w:val="clear" w:color="auto" w:fill="7AC1D4"/>
            <w:vAlign w:val="center"/>
          </w:tcPr>
          <w:p w14:paraId="1D387247" w14:textId="22B16D46" w:rsidR="00195C2A" w:rsidRPr="00E41759" w:rsidRDefault="00195C2A" w:rsidP="002E23A3">
            <w:pPr>
              <w:jc w:val="center"/>
              <w:rPr>
                <w:b/>
                <w:bCs/>
              </w:rPr>
            </w:pPr>
            <w:r>
              <w:rPr>
                <w:b/>
                <w:bCs/>
              </w:rPr>
              <w:t>Respijtzorg</w:t>
            </w:r>
            <w:r>
              <w:rPr>
                <w:b/>
                <w:bCs/>
              </w:rPr>
              <w:br/>
            </w:r>
            <w:r w:rsidRPr="00E41759">
              <w:rPr>
                <w:b/>
                <w:bCs/>
              </w:rPr>
              <w:t>(</w:t>
            </w:r>
            <w:r w:rsidR="00620FC2">
              <w:rPr>
                <w:b/>
                <w:bCs/>
              </w:rPr>
              <w:t xml:space="preserve">specialistische </w:t>
            </w:r>
            <w:r w:rsidRPr="00E41759">
              <w:rPr>
                <w:b/>
                <w:bCs/>
              </w:rPr>
              <w:t>jeugdhulp)</w:t>
            </w:r>
          </w:p>
        </w:tc>
        <w:tc>
          <w:tcPr>
            <w:tcW w:w="3686" w:type="dxa"/>
            <w:shd w:val="clear" w:color="auto" w:fill="3DA2BD"/>
            <w:vAlign w:val="center"/>
          </w:tcPr>
          <w:p w14:paraId="1984DE0B" w14:textId="77777777" w:rsidR="00195C2A" w:rsidRDefault="00195C2A" w:rsidP="002E23A3">
            <w:pPr>
              <w:jc w:val="center"/>
              <w:rPr>
                <w:b/>
                <w:bCs/>
              </w:rPr>
            </w:pPr>
            <w:r w:rsidRPr="00E41759">
              <w:rPr>
                <w:b/>
                <w:bCs/>
              </w:rPr>
              <w:t>Dagbe</w:t>
            </w:r>
            <w:r>
              <w:rPr>
                <w:b/>
                <w:bCs/>
              </w:rPr>
              <w:t>ge</w:t>
            </w:r>
            <w:r w:rsidRPr="00E41759">
              <w:rPr>
                <w:b/>
                <w:bCs/>
              </w:rPr>
              <w:t>leiding</w:t>
            </w:r>
          </w:p>
          <w:p w14:paraId="19471414" w14:textId="053A870B" w:rsidR="00195C2A" w:rsidRPr="00E41759" w:rsidRDefault="00195C2A" w:rsidP="002E23A3">
            <w:pPr>
              <w:jc w:val="center"/>
              <w:rPr>
                <w:b/>
                <w:bCs/>
              </w:rPr>
            </w:pPr>
            <w:r w:rsidRPr="00E41759">
              <w:rPr>
                <w:b/>
                <w:bCs/>
              </w:rPr>
              <w:t>(</w:t>
            </w:r>
            <w:r w:rsidR="00620FC2">
              <w:rPr>
                <w:b/>
                <w:bCs/>
              </w:rPr>
              <w:t xml:space="preserve">specialistische </w:t>
            </w:r>
            <w:r w:rsidRPr="00E41759">
              <w:rPr>
                <w:b/>
                <w:bCs/>
              </w:rPr>
              <w:t>jeugdhulp)</w:t>
            </w:r>
          </w:p>
        </w:tc>
      </w:tr>
      <w:tr w:rsidR="006557AB" w14:paraId="079BAA05" w14:textId="77777777" w:rsidTr="002E23A3">
        <w:tc>
          <w:tcPr>
            <w:tcW w:w="1555" w:type="dxa"/>
            <w:vAlign w:val="center"/>
          </w:tcPr>
          <w:p w14:paraId="7337A3C4" w14:textId="2AF24278" w:rsidR="006557AB" w:rsidRPr="00195C2A" w:rsidRDefault="006557AB" w:rsidP="002E23A3">
            <w:pPr>
              <w:rPr>
                <w:b/>
                <w:bCs/>
              </w:rPr>
            </w:pPr>
            <w:r w:rsidRPr="00195C2A">
              <w:rPr>
                <w:b/>
                <w:bCs/>
              </w:rPr>
              <w:t>Doel</w:t>
            </w:r>
          </w:p>
        </w:tc>
        <w:tc>
          <w:tcPr>
            <w:tcW w:w="2409" w:type="dxa"/>
            <w:shd w:val="clear" w:color="auto" w:fill="DAEEF3" w:themeFill="accent5" w:themeFillTint="33"/>
            <w:vAlign w:val="center"/>
          </w:tcPr>
          <w:p w14:paraId="38927AD5" w14:textId="5C167BC2" w:rsidR="006557AB" w:rsidRDefault="006557AB" w:rsidP="002E23A3">
            <w:r>
              <w:t>Opvang na schooltijd</w:t>
            </w:r>
          </w:p>
        </w:tc>
        <w:tc>
          <w:tcPr>
            <w:tcW w:w="3119" w:type="dxa"/>
            <w:shd w:val="clear" w:color="auto" w:fill="A7D6E3"/>
            <w:vAlign w:val="center"/>
          </w:tcPr>
          <w:p w14:paraId="667F151E" w14:textId="659698B1" w:rsidR="006557AB" w:rsidRDefault="006557AB" w:rsidP="002E23A3">
            <w:r>
              <w:t>Opvang na schooltijd</w:t>
            </w:r>
          </w:p>
        </w:tc>
        <w:tc>
          <w:tcPr>
            <w:tcW w:w="3685" w:type="dxa"/>
            <w:shd w:val="clear" w:color="auto" w:fill="7AC1D4"/>
            <w:vAlign w:val="center"/>
          </w:tcPr>
          <w:p w14:paraId="68DA736D" w14:textId="77777777" w:rsidR="00620FC2" w:rsidRDefault="006557AB" w:rsidP="002E23A3">
            <w:pPr>
              <w:pStyle w:val="Lijstalinea"/>
              <w:numPr>
                <w:ilvl w:val="0"/>
                <w:numId w:val="5"/>
              </w:numPr>
              <w:ind w:left="321"/>
            </w:pPr>
            <w:r>
              <w:t>Herstellen balans van de draagkracht en draaglast bij ouders of de jeugdige</w:t>
            </w:r>
          </w:p>
          <w:p w14:paraId="345A14A3" w14:textId="347871B1" w:rsidR="006557AB" w:rsidRDefault="006557AB" w:rsidP="002E23A3">
            <w:pPr>
              <w:pStyle w:val="Lijstalinea"/>
              <w:numPr>
                <w:ilvl w:val="0"/>
                <w:numId w:val="5"/>
              </w:numPr>
              <w:ind w:left="321"/>
            </w:pPr>
            <w:r>
              <w:t>Voorkomen verdere overbelasting en/of inzetten zwaardere jeugdhulp</w:t>
            </w:r>
            <w:r>
              <w:rPr>
                <w:rStyle w:val="Voetnootmarkering"/>
              </w:rPr>
              <w:footnoteReference w:id="3"/>
            </w:r>
          </w:p>
        </w:tc>
        <w:tc>
          <w:tcPr>
            <w:tcW w:w="3686" w:type="dxa"/>
            <w:shd w:val="clear" w:color="auto" w:fill="3DA2BD"/>
            <w:vAlign w:val="center"/>
          </w:tcPr>
          <w:p w14:paraId="7ED68AE7" w14:textId="6B6940E9" w:rsidR="006557AB" w:rsidRDefault="006557AB" w:rsidP="002E23A3">
            <w:pPr>
              <w:jc w:val="center"/>
            </w:pPr>
            <w:r>
              <w:t>Behalen resultaten in het kader van de Jeugdwet; bereiken van (duurzame) zelfredzaamheid en meer maatschappelijke participatie jeugdige.</w:t>
            </w:r>
          </w:p>
        </w:tc>
      </w:tr>
      <w:tr w:rsidR="006557AB" w14:paraId="3BD4E1B3" w14:textId="77777777" w:rsidTr="002E23A3">
        <w:tc>
          <w:tcPr>
            <w:tcW w:w="1555" w:type="dxa"/>
            <w:vAlign w:val="center"/>
          </w:tcPr>
          <w:p w14:paraId="071A37D0" w14:textId="77777777" w:rsidR="006557AB" w:rsidRPr="00195C2A" w:rsidRDefault="006557AB" w:rsidP="002E23A3">
            <w:pPr>
              <w:rPr>
                <w:b/>
                <w:bCs/>
              </w:rPr>
            </w:pPr>
            <w:r w:rsidRPr="00195C2A">
              <w:rPr>
                <w:b/>
                <w:bCs/>
              </w:rPr>
              <w:t>Situatie ouders</w:t>
            </w:r>
          </w:p>
        </w:tc>
        <w:tc>
          <w:tcPr>
            <w:tcW w:w="2409" w:type="dxa"/>
            <w:shd w:val="clear" w:color="auto" w:fill="DAEEF3" w:themeFill="accent5" w:themeFillTint="33"/>
            <w:vAlign w:val="center"/>
          </w:tcPr>
          <w:p w14:paraId="13DBE8BA" w14:textId="4237285A" w:rsidR="006557AB" w:rsidRDefault="006557AB" w:rsidP="002E23A3">
            <w:r>
              <w:t xml:space="preserve">Beide ouders werk of studie. Zie link: </w:t>
            </w:r>
            <w:hyperlink r:id="rId9" w:history="1">
              <w:r>
                <w:rPr>
                  <w:rStyle w:val="Hyperlink"/>
                </w:rPr>
                <w:t>Wanneer heb ik recht op kinderopvangtoeslag?</w:t>
              </w:r>
            </w:hyperlink>
          </w:p>
        </w:tc>
        <w:tc>
          <w:tcPr>
            <w:tcW w:w="3119" w:type="dxa"/>
            <w:shd w:val="clear" w:color="auto" w:fill="A7D6E3"/>
            <w:vAlign w:val="center"/>
          </w:tcPr>
          <w:p w14:paraId="767BE9F4" w14:textId="77777777" w:rsidR="006557AB" w:rsidRDefault="006557AB" w:rsidP="002E23A3">
            <w:r>
              <w:t>Beide ouders werk, studie.</w:t>
            </w:r>
          </w:p>
          <w:p w14:paraId="0ACB334D" w14:textId="77777777" w:rsidR="006557AB" w:rsidRDefault="006557AB" w:rsidP="002E23A3"/>
          <w:p w14:paraId="307BB59D" w14:textId="77777777" w:rsidR="006557AB" w:rsidRDefault="006557AB" w:rsidP="002E23A3">
            <w:r>
              <w:t>I</w:t>
            </w:r>
            <w:r w:rsidRPr="00C774C0">
              <w:t xml:space="preserve">n uitzonderlijke gevallen kan </w:t>
            </w:r>
            <w:r>
              <w:t>BSO+</w:t>
            </w:r>
            <w:r w:rsidRPr="00C774C0">
              <w:t xml:space="preserve"> in worden gezet ter voorkoming van overbelasting. </w:t>
            </w:r>
          </w:p>
        </w:tc>
        <w:tc>
          <w:tcPr>
            <w:tcW w:w="3685" w:type="dxa"/>
            <w:shd w:val="clear" w:color="auto" w:fill="7AC1D4"/>
            <w:vAlign w:val="center"/>
          </w:tcPr>
          <w:p w14:paraId="14F31B0F" w14:textId="77777777" w:rsidR="006557AB" w:rsidRDefault="006557AB" w:rsidP="002E23A3">
            <w:pPr>
              <w:jc w:val="center"/>
            </w:pPr>
            <w:r>
              <w:t>-</w:t>
            </w:r>
          </w:p>
        </w:tc>
        <w:tc>
          <w:tcPr>
            <w:tcW w:w="3686" w:type="dxa"/>
            <w:shd w:val="clear" w:color="auto" w:fill="3DA2BD"/>
            <w:vAlign w:val="center"/>
          </w:tcPr>
          <w:p w14:paraId="4D61CBD1" w14:textId="77777777" w:rsidR="006557AB" w:rsidRDefault="006557AB" w:rsidP="002E23A3">
            <w:pPr>
              <w:jc w:val="center"/>
            </w:pPr>
            <w:r>
              <w:t>-</w:t>
            </w:r>
          </w:p>
        </w:tc>
      </w:tr>
      <w:tr w:rsidR="006557AB" w14:paraId="38463F77" w14:textId="77777777" w:rsidTr="002E23A3">
        <w:tc>
          <w:tcPr>
            <w:tcW w:w="1555" w:type="dxa"/>
            <w:vAlign w:val="center"/>
          </w:tcPr>
          <w:p w14:paraId="70E36285" w14:textId="77777777" w:rsidR="006557AB" w:rsidRPr="00195C2A" w:rsidRDefault="006557AB" w:rsidP="002E23A3">
            <w:pPr>
              <w:rPr>
                <w:b/>
                <w:bCs/>
              </w:rPr>
            </w:pPr>
            <w:r w:rsidRPr="00195C2A">
              <w:rPr>
                <w:b/>
                <w:bCs/>
              </w:rPr>
              <w:t>Gemiddelde groepsgrootte per medewerker</w:t>
            </w:r>
          </w:p>
        </w:tc>
        <w:tc>
          <w:tcPr>
            <w:tcW w:w="2409" w:type="dxa"/>
            <w:shd w:val="clear" w:color="auto" w:fill="DAEEF3" w:themeFill="accent5" w:themeFillTint="33"/>
            <w:vAlign w:val="center"/>
          </w:tcPr>
          <w:p w14:paraId="5E4787FE" w14:textId="2EB294E4" w:rsidR="006557AB" w:rsidRDefault="006557AB" w:rsidP="002E23A3">
            <w:r>
              <w:t>Afhankelijk van leeftijd en samenstelling van de groep. Maximaal 12 jeugdigen.</w:t>
            </w:r>
          </w:p>
        </w:tc>
        <w:tc>
          <w:tcPr>
            <w:tcW w:w="3119" w:type="dxa"/>
            <w:shd w:val="clear" w:color="auto" w:fill="A7D6E3"/>
            <w:vAlign w:val="center"/>
          </w:tcPr>
          <w:p w14:paraId="793908E4" w14:textId="61133DBF" w:rsidR="006557AB" w:rsidRDefault="006557AB" w:rsidP="002E23A3">
            <w:r>
              <w:t>6 jeugdigen.</w:t>
            </w:r>
          </w:p>
        </w:tc>
        <w:tc>
          <w:tcPr>
            <w:tcW w:w="3685" w:type="dxa"/>
            <w:shd w:val="clear" w:color="auto" w:fill="7AC1D4"/>
            <w:vAlign w:val="center"/>
          </w:tcPr>
          <w:p w14:paraId="1C170911" w14:textId="7BF4C6F2" w:rsidR="006557AB" w:rsidRDefault="006557AB" w:rsidP="002E23A3">
            <w:pPr>
              <w:pStyle w:val="Lijstalinea"/>
              <w:numPr>
                <w:ilvl w:val="0"/>
                <w:numId w:val="4"/>
              </w:numPr>
              <w:ind w:left="321"/>
            </w:pPr>
            <w:r>
              <w:t>Respijtzorg A: 5 à 6 jeugdigen.</w:t>
            </w:r>
          </w:p>
          <w:p w14:paraId="3AC39CEE" w14:textId="5B612E7B" w:rsidR="006557AB" w:rsidRDefault="006557AB" w:rsidP="002E23A3">
            <w:pPr>
              <w:pStyle w:val="Lijstalinea"/>
              <w:numPr>
                <w:ilvl w:val="0"/>
                <w:numId w:val="4"/>
              </w:numPr>
              <w:ind w:left="321"/>
            </w:pPr>
            <w:r>
              <w:t>Respijtzorg B: maximaal 4 jeugdigen.</w:t>
            </w:r>
          </w:p>
        </w:tc>
        <w:tc>
          <w:tcPr>
            <w:tcW w:w="3686" w:type="dxa"/>
            <w:shd w:val="clear" w:color="auto" w:fill="3DA2BD"/>
            <w:vAlign w:val="center"/>
          </w:tcPr>
          <w:p w14:paraId="7D68226F" w14:textId="2ABF3930" w:rsidR="006557AB" w:rsidRDefault="006557AB" w:rsidP="002E23A3">
            <w:pPr>
              <w:pStyle w:val="Lijstalinea"/>
              <w:numPr>
                <w:ilvl w:val="0"/>
                <w:numId w:val="4"/>
              </w:numPr>
              <w:ind w:left="321"/>
            </w:pPr>
            <w:r>
              <w:t>Dagbegeleiding A: 5 à 6 jeugdigen.</w:t>
            </w:r>
          </w:p>
          <w:p w14:paraId="1EFE0392" w14:textId="57790CD5" w:rsidR="006557AB" w:rsidRDefault="006557AB" w:rsidP="002E23A3">
            <w:pPr>
              <w:pStyle w:val="Lijstalinea"/>
              <w:numPr>
                <w:ilvl w:val="0"/>
                <w:numId w:val="4"/>
              </w:numPr>
              <w:ind w:left="321"/>
            </w:pPr>
            <w:r>
              <w:t>Dagbegeleiding B: maximaal 4 jeugdigen.</w:t>
            </w:r>
          </w:p>
          <w:p w14:paraId="11DBCCA3" w14:textId="77777777" w:rsidR="006557AB" w:rsidRDefault="006557AB" w:rsidP="002E23A3">
            <w:pPr>
              <w:pStyle w:val="Lijstalinea"/>
              <w:ind w:left="321"/>
            </w:pPr>
          </w:p>
        </w:tc>
      </w:tr>
      <w:tr w:rsidR="006557AB" w14:paraId="0ABC1D01" w14:textId="77777777" w:rsidTr="002E23A3">
        <w:tc>
          <w:tcPr>
            <w:tcW w:w="1555" w:type="dxa"/>
            <w:vAlign w:val="center"/>
          </w:tcPr>
          <w:p w14:paraId="79FD7F2F" w14:textId="77777777" w:rsidR="006557AB" w:rsidRPr="00195C2A" w:rsidRDefault="006557AB" w:rsidP="002E23A3">
            <w:pPr>
              <w:rPr>
                <w:b/>
                <w:bCs/>
              </w:rPr>
            </w:pPr>
            <w:r w:rsidRPr="00195C2A">
              <w:rPr>
                <w:b/>
                <w:bCs/>
              </w:rPr>
              <w:t>Duur inzet</w:t>
            </w:r>
          </w:p>
        </w:tc>
        <w:tc>
          <w:tcPr>
            <w:tcW w:w="2409" w:type="dxa"/>
            <w:shd w:val="clear" w:color="auto" w:fill="DAEEF3" w:themeFill="accent5" w:themeFillTint="33"/>
            <w:vAlign w:val="center"/>
          </w:tcPr>
          <w:p w14:paraId="0D052ECE" w14:textId="77777777" w:rsidR="006557AB" w:rsidRDefault="006557AB" w:rsidP="002E23A3">
            <w:r>
              <w:t xml:space="preserve">Zo lang als nodig binnen de basisschoolperiode </w:t>
            </w:r>
          </w:p>
        </w:tc>
        <w:tc>
          <w:tcPr>
            <w:tcW w:w="3119" w:type="dxa"/>
            <w:shd w:val="clear" w:color="auto" w:fill="A7D6E3"/>
            <w:vAlign w:val="center"/>
          </w:tcPr>
          <w:p w14:paraId="1AE14AB6" w14:textId="5B7F5045" w:rsidR="006557AB" w:rsidRDefault="006557AB" w:rsidP="002E23A3">
            <w:r>
              <w:t>Tot maximaal 31-12-2023</w:t>
            </w:r>
            <w:r>
              <w:rPr>
                <w:rStyle w:val="Voetnootmarkering"/>
              </w:rPr>
              <w:footnoteReference w:id="4"/>
            </w:r>
            <w:r>
              <w:t xml:space="preserve">. Eerste verlenging mag door de aanbieder aangevraagd worden via een Jw315 bericht. Volgende verlenging kan alleen via de lokale Toegang. </w:t>
            </w:r>
          </w:p>
        </w:tc>
        <w:tc>
          <w:tcPr>
            <w:tcW w:w="3685" w:type="dxa"/>
            <w:shd w:val="clear" w:color="auto" w:fill="7AC1D4"/>
            <w:vAlign w:val="center"/>
          </w:tcPr>
          <w:p w14:paraId="4FFBF298" w14:textId="77777777" w:rsidR="006557AB" w:rsidRDefault="006557AB" w:rsidP="002E23A3">
            <w:r>
              <w:t>Uitgangspunt is één jaar, tenzij sprake van specifieke omstandigheden, bijvoorbeeld:</w:t>
            </w:r>
          </w:p>
          <w:p w14:paraId="0F96A031" w14:textId="77777777" w:rsidR="006557AB" w:rsidRDefault="006557AB" w:rsidP="002E23A3">
            <w:pPr>
              <w:pStyle w:val="Lijstalinea"/>
              <w:numPr>
                <w:ilvl w:val="0"/>
                <w:numId w:val="4"/>
              </w:numPr>
              <w:ind w:left="462"/>
            </w:pPr>
            <w:r>
              <w:t>Verstandelijke beperking + gedragsproblematiek</w:t>
            </w:r>
          </w:p>
          <w:p w14:paraId="208C2BA7" w14:textId="55E070E0" w:rsidR="006557AB" w:rsidRDefault="006557AB" w:rsidP="002E23A3">
            <w:pPr>
              <w:pStyle w:val="Lijstalinea"/>
              <w:numPr>
                <w:ilvl w:val="0"/>
                <w:numId w:val="4"/>
              </w:numPr>
              <w:ind w:left="462"/>
            </w:pPr>
            <w:r>
              <w:t xml:space="preserve">Ernstig meervoudig beperkt, maar komt nog niet in aanmerking voor </w:t>
            </w:r>
            <w:proofErr w:type="spellStart"/>
            <w:r>
              <w:t>Wlz</w:t>
            </w:r>
            <w:proofErr w:type="spellEnd"/>
          </w:p>
        </w:tc>
        <w:tc>
          <w:tcPr>
            <w:tcW w:w="3686" w:type="dxa"/>
            <w:shd w:val="clear" w:color="auto" w:fill="3DA2BD"/>
            <w:vAlign w:val="center"/>
          </w:tcPr>
          <w:p w14:paraId="3C7373D2" w14:textId="77777777" w:rsidR="006557AB" w:rsidRDefault="006557AB" w:rsidP="002E23A3">
            <w:r>
              <w:t>Uitgangspunt is één jaar, tenzij sprake van specifieke omstandigheden, bijvoorbeeld:</w:t>
            </w:r>
          </w:p>
          <w:p w14:paraId="342F0413" w14:textId="77777777" w:rsidR="006557AB" w:rsidRDefault="006557AB" w:rsidP="002E23A3">
            <w:pPr>
              <w:pStyle w:val="Lijstalinea"/>
              <w:numPr>
                <w:ilvl w:val="0"/>
                <w:numId w:val="4"/>
              </w:numPr>
              <w:ind w:left="462"/>
            </w:pPr>
            <w:r>
              <w:t>Verstandelijke beperking + gedragsproblematiek</w:t>
            </w:r>
          </w:p>
        </w:tc>
      </w:tr>
      <w:tr w:rsidR="006557AB" w14:paraId="2325ECED" w14:textId="77777777" w:rsidTr="002E23A3">
        <w:tc>
          <w:tcPr>
            <w:tcW w:w="1555" w:type="dxa"/>
            <w:vAlign w:val="center"/>
          </w:tcPr>
          <w:p w14:paraId="6DB16981" w14:textId="77777777" w:rsidR="006557AB" w:rsidRPr="00E41759" w:rsidRDefault="006557AB" w:rsidP="002E23A3">
            <w:pPr>
              <w:rPr>
                <w:b/>
                <w:bCs/>
              </w:rPr>
            </w:pPr>
            <w:r w:rsidRPr="00E41759">
              <w:rPr>
                <w:b/>
                <w:bCs/>
              </w:rPr>
              <w:t>Voorliggende voorzieningen</w:t>
            </w:r>
          </w:p>
        </w:tc>
        <w:tc>
          <w:tcPr>
            <w:tcW w:w="2409" w:type="dxa"/>
            <w:shd w:val="clear" w:color="auto" w:fill="DAEEF3" w:themeFill="accent5" w:themeFillTint="33"/>
            <w:vAlign w:val="center"/>
          </w:tcPr>
          <w:p w14:paraId="4A297844" w14:textId="7B96F9EF" w:rsidR="006557AB" w:rsidRDefault="006557AB" w:rsidP="002E23A3">
            <w:r>
              <w:t>Eigen netwerk en overige voorliggende voorzieningen.</w:t>
            </w:r>
          </w:p>
        </w:tc>
        <w:tc>
          <w:tcPr>
            <w:tcW w:w="3119" w:type="dxa"/>
            <w:shd w:val="clear" w:color="auto" w:fill="A7D6E3"/>
            <w:vAlign w:val="center"/>
          </w:tcPr>
          <w:p w14:paraId="33F7B307" w14:textId="0A54C237" w:rsidR="006557AB" w:rsidRDefault="006557AB" w:rsidP="002E23A3">
            <w:r>
              <w:t xml:space="preserve">Eigen netwerk, overige voorliggende voorzieningen en </w:t>
            </w:r>
            <w:r w:rsidR="00620FC2">
              <w:t>kinderopvang</w:t>
            </w:r>
            <w:r>
              <w:rPr>
                <w:rStyle w:val="Eindnootmarkering"/>
              </w:rPr>
              <w:endnoteReference w:id="1"/>
            </w:r>
          </w:p>
        </w:tc>
        <w:tc>
          <w:tcPr>
            <w:tcW w:w="3685" w:type="dxa"/>
            <w:shd w:val="clear" w:color="auto" w:fill="7AC1D4"/>
            <w:vAlign w:val="center"/>
          </w:tcPr>
          <w:p w14:paraId="409BE3B7" w14:textId="70AB73EC" w:rsidR="006557AB" w:rsidRDefault="006557AB" w:rsidP="002E23A3">
            <w:r>
              <w:t xml:space="preserve">Eigen netwerk, overige voorliggende voorzieningen, </w:t>
            </w:r>
            <w:r w:rsidR="00620FC2">
              <w:t xml:space="preserve">kinderopvang </w:t>
            </w:r>
            <w:r>
              <w:t>en BSO+</w:t>
            </w:r>
          </w:p>
        </w:tc>
        <w:tc>
          <w:tcPr>
            <w:tcW w:w="3686" w:type="dxa"/>
            <w:shd w:val="clear" w:color="auto" w:fill="3DA2BD"/>
            <w:vAlign w:val="center"/>
          </w:tcPr>
          <w:p w14:paraId="377BCAF5" w14:textId="1A495529" w:rsidR="006557AB" w:rsidRDefault="006557AB" w:rsidP="002E23A3">
            <w:r>
              <w:t xml:space="preserve">Eigen netwerk, overige voorliggende voorzieningen, </w:t>
            </w:r>
            <w:r w:rsidR="00620FC2">
              <w:t>kinderopvang</w:t>
            </w:r>
            <w:r>
              <w:t>, BSO+ en respijtzorg</w:t>
            </w:r>
          </w:p>
        </w:tc>
      </w:tr>
      <w:tr w:rsidR="006557AB" w14:paraId="26C01C48" w14:textId="77777777" w:rsidTr="002E23A3">
        <w:tc>
          <w:tcPr>
            <w:tcW w:w="1555" w:type="dxa"/>
            <w:vAlign w:val="center"/>
          </w:tcPr>
          <w:p w14:paraId="00FF045D" w14:textId="77777777" w:rsidR="006557AB" w:rsidRPr="00E41759" w:rsidRDefault="006557AB" w:rsidP="002E23A3">
            <w:pPr>
              <w:rPr>
                <w:b/>
                <w:bCs/>
              </w:rPr>
            </w:pPr>
            <w:r w:rsidRPr="00E41759">
              <w:rPr>
                <w:b/>
                <w:bCs/>
              </w:rPr>
              <w:t>Aanbieder</w:t>
            </w:r>
          </w:p>
        </w:tc>
        <w:tc>
          <w:tcPr>
            <w:tcW w:w="2409" w:type="dxa"/>
            <w:shd w:val="clear" w:color="auto" w:fill="DAEEF3" w:themeFill="accent5" w:themeFillTint="33"/>
            <w:vAlign w:val="center"/>
          </w:tcPr>
          <w:p w14:paraId="5257031B" w14:textId="4E3D0CC7" w:rsidR="006557AB" w:rsidRDefault="00620FC2" w:rsidP="002E23A3">
            <w:r>
              <w:t>Kinderopvangorganisatie</w:t>
            </w:r>
            <w:r w:rsidR="006557AB">
              <w:t>, gastouder</w:t>
            </w:r>
          </w:p>
        </w:tc>
        <w:tc>
          <w:tcPr>
            <w:tcW w:w="3119" w:type="dxa"/>
            <w:shd w:val="clear" w:color="auto" w:fill="A7D6E3"/>
            <w:vAlign w:val="center"/>
          </w:tcPr>
          <w:p w14:paraId="6F1EF9CD" w14:textId="77777777" w:rsidR="006557AB" w:rsidRDefault="006557AB" w:rsidP="002E23A3">
            <w:r>
              <w:t xml:space="preserve">AMO en </w:t>
            </w:r>
            <w:proofErr w:type="spellStart"/>
            <w:r>
              <w:t>Asendo</w:t>
            </w:r>
            <w:proofErr w:type="spellEnd"/>
          </w:p>
        </w:tc>
        <w:tc>
          <w:tcPr>
            <w:tcW w:w="3685" w:type="dxa"/>
            <w:shd w:val="clear" w:color="auto" w:fill="7AC1D4"/>
            <w:vAlign w:val="center"/>
          </w:tcPr>
          <w:p w14:paraId="12620E5C" w14:textId="77777777" w:rsidR="006557AB" w:rsidRDefault="006557AB" w:rsidP="002E23A3">
            <w:r>
              <w:t>Gecontracteerde aanbieders segment 3: zie Wegwijzer.</w:t>
            </w:r>
          </w:p>
        </w:tc>
        <w:tc>
          <w:tcPr>
            <w:tcW w:w="3686" w:type="dxa"/>
            <w:shd w:val="clear" w:color="auto" w:fill="3DA2BD"/>
            <w:vAlign w:val="center"/>
          </w:tcPr>
          <w:p w14:paraId="56CD8DA7" w14:textId="77777777" w:rsidR="006557AB" w:rsidRDefault="006557AB" w:rsidP="002E23A3">
            <w:r>
              <w:t>Gecontracteerde aanbieders segment 3: zie Wegwijzer.</w:t>
            </w:r>
          </w:p>
        </w:tc>
      </w:tr>
      <w:tr w:rsidR="006557AB" w14:paraId="2BD8EBA8" w14:textId="77777777" w:rsidTr="002E23A3">
        <w:tc>
          <w:tcPr>
            <w:tcW w:w="1555" w:type="dxa"/>
            <w:vAlign w:val="center"/>
          </w:tcPr>
          <w:p w14:paraId="3309BD1D" w14:textId="77777777" w:rsidR="006557AB" w:rsidRPr="00E41759" w:rsidRDefault="006557AB" w:rsidP="002E23A3">
            <w:pPr>
              <w:rPr>
                <w:b/>
                <w:bCs/>
              </w:rPr>
            </w:pPr>
            <w:r>
              <w:rPr>
                <w:b/>
                <w:bCs/>
              </w:rPr>
              <w:t>Verwijzer</w:t>
            </w:r>
          </w:p>
        </w:tc>
        <w:tc>
          <w:tcPr>
            <w:tcW w:w="2409" w:type="dxa"/>
            <w:shd w:val="clear" w:color="auto" w:fill="DAEEF3" w:themeFill="accent5" w:themeFillTint="33"/>
            <w:vAlign w:val="center"/>
          </w:tcPr>
          <w:p w14:paraId="17A8DBE7" w14:textId="77777777" w:rsidR="006557AB" w:rsidRDefault="006557AB" w:rsidP="002E23A3">
            <w:r>
              <w:t xml:space="preserve">Geen verwijzing nodig </w:t>
            </w:r>
          </w:p>
        </w:tc>
        <w:tc>
          <w:tcPr>
            <w:tcW w:w="3119" w:type="dxa"/>
            <w:shd w:val="clear" w:color="auto" w:fill="A7D6E3"/>
            <w:vAlign w:val="center"/>
          </w:tcPr>
          <w:p w14:paraId="4408E2A4" w14:textId="77777777" w:rsidR="006557AB" w:rsidRDefault="006557AB" w:rsidP="002E23A3">
            <w:r>
              <w:t>Alleen via de Toegang (bij verlengingen via zorgaanbieder)</w:t>
            </w:r>
          </w:p>
        </w:tc>
        <w:tc>
          <w:tcPr>
            <w:tcW w:w="3685" w:type="dxa"/>
            <w:shd w:val="clear" w:color="auto" w:fill="7AC1D4"/>
            <w:vAlign w:val="center"/>
          </w:tcPr>
          <w:p w14:paraId="23EB907C" w14:textId="77777777" w:rsidR="006557AB" w:rsidRDefault="006557AB" w:rsidP="002E23A3">
            <w:r>
              <w:t>Toegang, GI, medisch domein</w:t>
            </w:r>
          </w:p>
        </w:tc>
        <w:tc>
          <w:tcPr>
            <w:tcW w:w="3686" w:type="dxa"/>
            <w:shd w:val="clear" w:color="auto" w:fill="3DA2BD"/>
            <w:vAlign w:val="center"/>
          </w:tcPr>
          <w:p w14:paraId="1F12B5E6" w14:textId="77777777" w:rsidR="006557AB" w:rsidRDefault="006557AB" w:rsidP="002E23A3">
            <w:r>
              <w:t>Toegang, GI, medisch domein</w:t>
            </w:r>
          </w:p>
        </w:tc>
      </w:tr>
      <w:tr w:rsidR="006557AB" w:rsidRPr="00714845" w14:paraId="4C88D441" w14:textId="77777777" w:rsidTr="002E23A3">
        <w:tc>
          <w:tcPr>
            <w:tcW w:w="1555" w:type="dxa"/>
            <w:vAlign w:val="center"/>
          </w:tcPr>
          <w:p w14:paraId="3BD5613A" w14:textId="77777777" w:rsidR="006557AB" w:rsidRPr="00E41759" w:rsidRDefault="006557AB" w:rsidP="002E23A3">
            <w:pPr>
              <w:rPr>
                <w:b/>
                <w:bCs/>
              </w:rPr>
            </w:pPr>
            <w:r>
              <w:rPr>
                <w:b/>
                <w:bCs/>
              </w:rPr>
              <w:t>Financiering</w:t>
            </w:r>
          </w:p>
        </w:tc>
        <w:tc>
          <w:tcPr>
            <w:tcW w:w="2409" w:type="dxa"/>
            <w:shd w:val="clear" w:color="auto" w:fill="DAEEF3" w:themeFill="accent5" w:themeFillTint="33"/>
            <w:vAlign w:val="center"/>
          </w:tcPr>
          <w:p w14:paraId="03FFB5B5" w14:textId="77777777" w:rsidR="006557AB" w:rsidRDefault="006557AB" w:rsidP="002E23A3">
            <w:r>
              <w:t>Ouders en Belastingdienst</w:t>
            </w:r>
          </w:p>
        </w:tc>
        <w:tc>
          <w:tcPr>
            <w:tcW w:w="3119" w:type="dxa"/>
            <w:shd w:val="clear" w:color="auto" w:fill="A7D6E3"/>
            <w:vAlign w:val="center"/>
          </w:tcPr>
          <w:p w14:paraId="03EA86BF" w14:textId="77777777" w:rsidR="006557AB" w:rsidRDefault="006557AB" w:rsidP="002E23A3">
            <w:r>
              <w:t>Subsidieregeling (kan niet via pgb)</w:t>
            </w:r>
          </w:p>
        </w:tc>
        <w:tc>
          <w:tcPr>
            <w:tcW w:w="3685" w:type="dxa"/>
            <w:shd w:val="clear" w:color="auto" w:fill="7AC1D4"/>
            <w:vAlign w:val="center"/>
          </w:tcPr>
          <w:p w14:paraId="57400462" w14:textId="77777777" w:rsidR="006557AB" w:rsidRPr="00714845" w:rsidRDefault="006557AB" w:rsidP="002E23A3">
            <w:r w:rsidRPr="00714845">
              <w:t xml:space="preserve">Zorg in Natura of </w:t>
            </w:r>
            <w:r>
              <w:t>pgb</w:t>
            </w:r>
          </w:p>
        </w:tc>
        <w:tc>
          <w:tcPr>
            <w:tcW w:w="3686" w:type="dxa"/>
            <w:shd w:val="clear" w:color="auto" w:fill="3DA2BD"/>
            <w:vAlign w:val="center"/>
          </w:tcPr>
          <w:p w14:paraId="4DF509E1" w14:textId="77777777" w:rsidR="006557AB" w:rsidRPr="00714845" w:rsidRDefault="006557AB" w:rsidP="002E23A3">
            <w:r w:rsidRPr="00714845">
              <w:t>Zorg in Natura of</w:t>
            </w:r>
            <w:r>
              <w:t xml:space="preserve"> pgb</w:t>
            </w:r>
          </w:p>
        </w:tc>
      </w:tr>
      <w:tr w:rsidR="006557AB" w:rsidRPr="00714845" w14:paraId="56E8F7E9" w14:textId="77777777" w:rsidTr="002E23A3">
        <w:tc>
          <w:tcPr>
            <w:tcW w:w="1555" w:type="dxa"/>
            <w:vAlign w:val="center"/>
          </w:tcPr>
          <w:p w14:paraId="3843A173" w14:textId="2FA5B3FB" w:rsidR="006557AB" w:rsidRPr="00E41759" w:rsidRDefault="006557AB" w:rsidP="002E23A3">
            <w:pPr>
              <w:rPr>
                <w:b/>
                <w:bCs/>
              </w:rPr>
            </w:pPr>
            <w:r w:rsidRPr="00E41759">
              <w:rPr>
                <w:b/>
                <w:bCs/>
              </w:rPr>
              <w:t>Woonplaats</w:t>
            </w:r>
            <w:r>
              <w:rPr>
                <w:b/>
                <w:bCs/>
              </w:rPr>
              <w:t>-</w:t>
            </w:r>
            <w:r w:rsidRPr="00E41759">
              <w:rPr>
                <w:b/>
                <w:bCs/>
              </w:rPr>
              <w:t>beginsel</w:t>
            </w:r>
          </w:p>
        </w:tc>
        <w:tc>
          <w:tcPr>
            <w:tcW w:w="2409" w:type="dxa"/>
            <w:shd w:val="clear" w:color="auto" w:fill="DAEEF3" w:themeFill="accent5" w:themeFillTint="33"/>
            <w:vAlign w:val="center"/>
          </w:tcPr>
          <w:p w14:paraId="15957878" w14:textId="77777777" w:rsidR="006557AB" w:rsidRDefault="006557AB" w:rsidP="002E23A3">
            <w:r>
              <w:t>Niet van toepassing</w:t>
            </w:r>
          </w:p>
        </w:tc>
        <w:tc>
          <w:tcPr>
            <w:tcW w:w="3119" w:type="dxa"/>
            <w:shd w:val="clear" w:color="auto" w:fill="A7D6E3"/>
            <w:vAlign w:val="center"/>
          </w:tcPr>
          <w:p w14:paraId="223B5635" w14:textId="77777777" w:rsidR="006557AB" w:rsidRDefault="006557AB" w:rsidP="002E23A3">
            <w:r>
              <w:t>Woonplaatsbeginsel Jeugdwet</w:t>
            </w:r>
          </w:p>
        </w:tc>
        <w:tc>
          <w:tcPr>
            <w:tcW w:w="3685" w:type="dxa"/>
            <w:shd w:val="clear" w:color="auto" w:fill="7AC1D4"/>
            <w:vAlign w:val="center"/>
          </w:tcPr>
          <w:p w14:paraId="5966F516" w14:textId="77777777" w:rsidR="006557AB" w:rsidRDefault="006557AB" w:rsidP="002E23A3">
            <w:r>
              <w:t>Woonplaatsbeginsel Jeugdwet</w:t>
            </w:r>
          </w:p>
        </w:tc>
        <w:tc>
          <w:tcPr>
            <w:tcW w:w="3686" w:type="dxa"/>
            <w:shd w:val="clear" w:color="auto" w:fill="3DA2BD"/>
            <w:vAlign w:val="center"/>
          </w:tcPr>
          <w:p w14:paraId="5DD531EB" w14:textId="77777777" w:rsidR="006557AB" w:rsidRDefault="006557AB" w:rsidP="002E23A3">
            <w:r>
              <w:t>Woonplaatsbeginsel Jeugdwet</w:t>
            </w:r>
          </w:p>
        </w:tc>
      </w:tr>
    </w:tbl>
    <w:p w14:paraId="1252A276" w14:textId="4F0A4789" w:rsidR="001628E0" w:rsidRDefault="001628E0" w:rsidP="0047354E"/>
    <w:sectPr w:rsidR="001628E0" w:rsidSect="00434C6C">
      <w:headerReference w:type="default" r:id="rId10"/>
      <w:footnotePr>
        <w:numRestart w:val="eachPage"/>
      </w:footnotePr>
      <w:pgSz w:w="16838" w:h="11906" w:orient="landscape"/>
      <w:pgMar w:top="709" w:right="1245"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5582" w14:textId="77777777" w:rsidR="001628E0" w:rsidRDefault="001628E0" w:rsidP="00F91A8A">
      <w:pPr>
        <w:spacing w:line="240" w:lineRule="auto"/>
      </w:pPr>
      <w:r>
        <w:separator/>
      </w:r>
    </w:p>
  </w:endnote>
  <w:endnote w:type="continuationSeparator" w:id="0">
    <w:p w14:paraId="6352E3FE" w14:textId="77777777" w:rsidR="001628E0" w:rsidRDefault="001628E0" w:rsidP="00F91A8A">
      <w:pPr>
        <w:spacing w:line="240" w:lineRule="auto"/>
      </w:pPr>
      <w:r>
        <w:continuationSeparator/>
      </w:r>
    </w:p>
  </w:endnote>
  <w:endnote w:id="1">
    <w:p w14:paraId="4945E3F2" w14:textId="08E197D8" w:rsidR="006557AB" w:rsidRPr="00434C6C" w:rsidRDefault="006557AB" w:rsidP="00434C6C">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A608" w14:textId="77777777" w:rsidR="001628E0" w:rsidRDefault="001628E0" w:rsidP="00F91A8A">
      <w:pPr>
        <w:spacing w:line="240" w:lineRule="auto"/>
      </w:pPr>
      <w:r>
        <w:separator/>
      </w:r>
    </w:p>
  </w:footnote>
  <w:footnote w:type="continuationSeparator" w:id="0">
    <w:p w14:paraId="59FA030F" w14:textId="77777777" w:rsidR="001628E0" w:rsidRDefault="001628E0" w:rsidP="00F91A8A">
      <w:pPr>
        <w:spacing w:line="240" w:lineRule="auto"/>
      </w:pPr>
      <w:r>
        <w:continuationSeparator/>
      </w:r>
    </w:p>
  </w:footnote>
  <w:footnote w:id="1">
    <w:p w14:paraId="6B9944BE" w14:textId="77777777" w:rsidR="00336093" w:rsidRPr="00CB5431" w:rsidRDefault="00336093" w:rsidP="00336093">
      <w:pPr>
        <w:pStyle w:val="Voetnoottekst"/>
        <w:rPr>
          <w:sz w:val="16"/>
          <w:szCs w:val="16"/>
        </w:rPr>
      </w:pPr>
      <w:r w:rsidRPr="00CB5431">
        <w:rPr>
          <w:rStyle w:val="Voetnootmarkering"/>
        </w:rPr>
        <w:footnoteRef/>
      </w:r>
      <w:r w:rsidRPr="00CB5431">
        <w:t xml:space="preserve"> </w:t>
      </w:r>
      <w:r w:rsidRPr="001214B0">
        <w:rPr>
          <w:sz w:val="16"/>
          <w:szCs w:val="16"/>
        </w:rPr>
        <w:t>Let op: h</w:t>
      </w:r>
      <w:r w:rsidRPr="00CB5431">
        <w:rPr>
          <w:sz w:val="16"/>
          <w:szCs w:val="16"/>
        </w:rPr>
        <w:t xml:space="preserve">et gaat hier </w:t>
      </w:r>
      <w:r w:rsidRPr="001214B0">
        <w:rPr>
          <w:sz w:val="16"/>
          <w:szCs w:val="16"/>
          <w:u w:val="single"/>
        </w:rPr>
        <w:t>niet</w:t>
      </w:r>
      <w:r w:rsidRPr="00CB5431">
        <w:rPr>
          <w:sz w:val="16"/>
          <w:szCs w:val="16"/>
        </w:rPr>
        <w:t xml:space="preserve"> om dagbehandeling</w:t>
      </w:r>
      <w:r>
        <w:rPr>
          <w:sz w:val="16"/>
          <w:szCs w:val="16"/>
        </w:rPr>
        <w:t xml:space="preserve">. </w:t>
      </w:r>
      <w:r w:rsidRPr="00196F56">
        <w:rPr>
          <w:sz w:val="16"/>
          <w:szCs w:val="16"/>
        </w:rPr>
        <w:t xml:space="preserve">Dat valt onder segment 1 </w:t>
      </w:r>
      <w:r>
        <w:rPr>
          <w:sz w:val="16"/>
          <w:szCs w:val="16"/>
        </w:rPr>
        <w:t xml:space="preserve">- </w:t>
      </w:r>
      <w:r w:rsidRPr="00196F56">
        <w:rPr>
          <w:sz w:val="16"/>
          <w:szCs w:val="16"/>
        </w:rPr>
        <w:t>hoog specialistische jeugdhulp</w:t>
      </w:r>
      <w:r>
        <w:rPr>
          <w:sz w:val="16"/>
          <w:szCs w:val="16"/>
        </w:rPr>
        <w:t>.</w:t>
      </w:r>
    </w:p>
  </w:footnote>
  <w:footnote w:id="2">
    <w:p w14:paraId="71EF226F" w14:textId="77777777" w:rsidR="00336093" w:rsidRPr="000D27DD" w:rsidRDefault="00336093" w:rsidP="00336093">
      <w:pPr>
        <w:pStyle w:val="Voetnoottekst"/>
        <w:rPr>
          <w:sz w:val="16"/>
          <w:szCs w:val="16"/>
        </w:rPr>
      </w:pPr>
      <w:r w:rsidRPr="003E5806">
        <w:rPr>
          <w:rStyle w:val="Voetnootmarkering"/>
        </w:rPr>
        <w:footnoteRef/>
      </w:r>
      <w:r w:rsidRPr="003E5806">
        <w:t xml:space="preserve"> </w:t>
      </w:r>
      <w:r w:rsidRPr="003E5806">
        <w:rPr>
          <w:sz w:val="16"/>
          <w:szCs w:val="16"/>
        </w:rPr>
        <w:t>Zie werkinstructie BSO+ voor meer informatie</w:t>
      </w:r>
    </w:p>
  </w:footnote>
  <w:footnote w:id="3">
    <w:p w14:paraId="57C99516" w14:textId="04DD9B95" w:rsidR="006557AB" w:rsidRDefault="006557AB">
      <w:pPr>
        <w:pStyle w:val="Voetnoottekst"/>
      </w:pPr>
      <w:r>
        <w:rPr>
          <w:rStyle w:val="Voetnootmarkering"/>
        </w:rPr>
        <w:footnoteRef/>
      </w:r>
      <w:r>
        <w:t xml:space="preserve"> </w:t>
      </w:r>
      <w:r w:rsidRPr="00196F56">
        <w:rPr>
          <w:sz w:val="16"/>
          <w:szCs w:val="16"/>
        </w:rPr>
        <w:t xml:space="preserve">Doorgaans is ook jeugdhulp uit </w:t>
      </w:r>
      <w:r w:rsidR="00A71F4B">
        <w:rPr>
          <w:sz w:val="16"/>
          <w:szCs w:val="16"/>
        </w:rPr>
        <w:t xml:space="preserve">bijv. </w:t>
      </w:r>
      <w:r w:rsidRPr="00196F56">
        <w:rPr>
          <w:sz w:val="16"/>
          <w:szCs w:val="16"/>
        </w:rPr>
        <w:t>segment 4 nodig om met de jeugdige/gezin te werken aan het verbeteren van de draagkracht/-last, zodat het gezin na een tijdelijke periode van respijtzorg zelfstandig verder kan.</w:t>
      </w:r>
    </w:p>
  </w:footnote>
  <w:footnote w:id="4">
    <w:p w14:paraId="60F6CCBE" w14:textId="16F76C1A" w:rsidR="006557AB" w:rsidRDefault="006557AB">
      <w:pPr>
        <w:pStyle w:val="Voetnoottekst"/>
      </w:pPr>
      <w:r>
        <w:rPr>
          <w:rStyle w:val="Voetnootmarkering"/>
        </w:rPr>
        <w:footnoteRef/>
      </w:r>
      <w:r>
        <w:t xml:space="preserve"> </w:t>
      </w:r>
      <w:r w:rsidRPr="003E5806">
        <w:rPr>
          <w:sz w:val="16"/>
          <w:szCs w:val="16"/>
        </w:rPr>
        <w:t>Zie werkinstructie BSO+ voor meer informatie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9631" w14:textId="30DC3AB6" w:rsidR="00336093" w:rsidRDefault="00336093">
    <w:pPr>
      <w:pStyle w:val="Koptekst"/>
    </w:pPr>
    <w:r w:rsidRPr="00BE37AD">
      <w:rPr>
        <w:noProof/>
      </w:rPr>
      <w:drawing>
        <wp:anchor distT="0" distB="0" distL="114300" distR="114300" simplePos="0" relativeHeight="251659264" behindDoc="1" locked="0" layoutInCell="1" allowOverlap="1" wp14:anchorId="0BC5387A" wp14:editId="62FBF4C9">
          <wp:simplePos x="0" y="0"/>
          <wp:positionH relativeFrom="margin">
            <wp:posOffset>7622438</wp:posOffset>
          </wp:positionH>
          <wp:positionV relativeFrom="paragraph">
            <wp:posOffset>138354</wp:posOffset>
          </wp:positionV>
          <wp:extent cx="1498285" cy="525192"/>
          <wp:effectExtent l="0" t="0" r="6985"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285" cy="5251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F6D"/>
    <w:multiLevelType w:val="hybridMultilevel"/>
    <w:tmpl w:val="DD80295E"/>
    <w:lvl w:ilvl="0" w:tplc="9EA0E4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3665BC"/>
    <w:multiLevelType w:val="hybridMultilevel"/>
    <w:tmpl w:val="D2605B10"/>
    <w:lvl w:ilvl="0" w:tplc="9EA0E4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A74739"/>
    <w:multiLevelType w:val="hybridMultilevel"/>
    <w:tmpl w:val="0DD63602"/>
    <w:lvl w:ilvl="0" w:tplc="0CFEBD84">
      <w:start w:val="1"/>
      <w:numFmt w:val="bullet"/>
      <w:lvlText w:val="-"/>
      <w:lvlJc w:val="left"/>
      <w:pPr>
        <w:ind w:left="0" w:hanging="360"/>
      </w:pPr>
      <w:rPr>
        <w:rFonts w:ascii="Calibri" w:eastAsiaTheme="minorHAnsi"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3" w15:restartNumberingAfterBreak="0">
    <w:nsid w:val="323B4BCF"/>
    <w:multiLevelType w:val="hybridMultilevel"/>
    <w:tmpl w:val="13309D20"/>
    <w:lvl w:ilvl="0" w:tplc="9EA0E4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3B72E3"/>
    <w:multiLevelType w:val="hybridMultilevel"/>
    <w:tmpl w:val="5D9E12DC"/>
    <w:lvl w:ilvl="0" w:tplc="D820F1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DE44B7"/>
    <w:multiLevelType w:val="hybridMultilevel"/>
    <w:tmpl w:val="700CEE3E"/>
    <w:lvl w:ilvl="0" w:tplc="9EA0E4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6243596">
    <w:abstractNumId w:val="5"/>
  </w:num>
  <w:num w:numId="2" w16cid:durableId="1217813450">
    <w:abstractNumId w:val="1"/>
  </w:num>
  <w:num w:numId="3" w16cid:durableId="903688061">
    <w:abstractNumId w:val="2"/>
  </w:num>
  <w:num w:numId="4" w16cid:durableId="1244685533">
    <w:abstractNumId w:val="0"/>
  </w:num>
  <w:num w:numId="5" w16cid:durableId="1489396641">
    <w:abstractNumId w:val="3"/>
  </w:num>
  <w:num w:numId="6" w16cid:durableId="321737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E0"/>
    <w:rsid w:val="000D73CE"/>
    <w:rsid w:val="000E27D1"/>
    <w:rsid w:val="001214B0"/>
    <w:rsid w:val="00134A90"/>
    <w:rsid w:val="001628E0"/>
    <w:rsid w:val="00183BFF"/>
    <w:rsid w:val="00186254"/>
    <w:rsid w:val="00195C2A"/>
    <w:rsid w:val="00196F56"/>
    <w:rsid w:val="001C4E02"/>
    <w:rsid w:val="001D6488"/>
    <w:rsid w:val="002601F2"/>
    <w:rsid w:val="002B1431"/>
    <w:rsid w:val="002E23A3"/>
    <w:rsid w:val="0033435F"/>
    <w:rsid w:val="00336093"/>
    <w:rsid w:val="00360CF7"/>
    <w:rsid w:val="003E5806"/>
    <w:rsid w:val="00434C6C"/>
    <w:rsid w:val="0047354E"/>
    <w:rsid w:val="004E1AB1"/>
    <w:rsid w:val="00507CCC"/>
    <w:rsid w:val="005355A5"/>
    <w:rsid w:val="00620FC2"/>
    <w:rsid w:val="0063599E"/>
    <w:rsid w:val="006557AB"/>
    <w:rsid w:val="006D452C"/>
    <w:rsid w:val="007262CC"/>
    <w:rsid w:val="00742AAF"/>
    <w:rsid w:val="00747D8B"/>
    <w:rsid w:val="007511D5"/>
    <w:rsid w:val="00797ABF"/>
    <w:rsid w:val="007B12DE"/>
    <w:rsid w:val="007D034A"/>
    <w:rsid w:val="00820E7C"/>
    <w:rsid w:val="00880F41"/>
    <w:rsid w:val="008E4960"/>
    <w:rsid w:val="008F3E76"/>
    <w:rsid w:val="008F44A2"/>
    <w:rsid w:val="00921D9E"/>
    <w:rsid w:val="00983413"/>
    <w:rsid w:val="00A2032F"/>
    <w:rsid w:val="00A35C05"/>
    <w:rsid w:val="00A649B6"/>
    <w:rsid w:val="00A71F4B"/>
    <w:rsid w:val="00A84EB1"/>
    <w:rsid w:val="00A9425F"/>
    <w:rsid w:val="00AA56F5"/>
    <w:rsid w:val="00AB03C6"/>
    <w:rsid w:val="00B3177E"/>
    <w:rsid w:val="00B42431"/>
    <w:rsid w:val="00B6286B"/>
    <w:rsid w:val="00BA1B56"/>
    <w:rsid w:val="00BA3C4F"/>
    <w:rsid w:val="00BA7D1B"/>
    <w:rsid w:val="00BE5C8D"/>
    <w:rsid w:val="00BE70ED"/>
    <w:rsid w:val="00BF5BC5"/>
    <w:rsid w:val="00C4694D"/>
    <w:rsid w:val="00CB5431"/>
    <w:rsid w:val="00CD6CC6"/>
    <w:rsid w:val="00D94408"/>
    <w:rsid w:val="00DE6DA8"/>
    <w:rsid w:val="00DE7B01"/>
    <w:rsid w:val="00E25514"/>
    <w:rsid w:val="00E8707B"/>
    <w:rsid w:val="00EB74DD"/>
    <w:rsid w:val="00F24FC0"/>
    <w:rsid w:val="00F83A13"/>
    <w:rsid w:val="00F91A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E1C2"/>
  <w15:chartTrackingRefBased/>
  <w15:docId w15:val="{41DCD71F-57D7-4F49-A392-5AEDDC6B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28E0"/>
    <w:pPr>
      <w:spacing w:after="0" w:line="240" w:lineRule="atLeast"/>
    </w:pPr>
    <w:rPr>
      <w:sz w:val="20"/>
    </w:rPr>
  </w:style>
  <w:style w:type="paragraph" w:styleId="Kop1">
    <w:name w:val="heading 1"/>
    <w:basedOn w:val="Standaard"/>
    <w:next w:val="Standaard"/>
    <w:link w:val="Kop1Char"/>
    <w:uiPriority w:val="9"/>
    <w:qFormat/>
    <w:rsid w:val="00F91A8A"/>
    <w:pPr>
      <w:keepNext/>
      <w:keepLines/>
      <w:spacing w:after="240"/>
      <w:outlineLvl w:val="0"/>
    </w:pPr>
    <w:rPr>
      <w:rFonts w:eastAsiaTheme="majorEastAsia" w:cstheme="majorBidi"/>
      <w:b/>
      <w:bCs/>
      <w:sz w:val="30"/>
      <w:szCs w:val="28"/>
    </w:rPr>
  </w:style>
  <w:style w:type="paragraph" w:styleId="Kop2">
    <w:name w:val="heading 2"/>
    <w:basedOn w:val="Standaard"/>
    <w:next w:val="Standaard"/>
    <w:link w:val="Kop2Char"/>
    <w:uiPriority w:val="9"/>
    <w:unhideWhenUsed/>
    <w:qFormat/>
    <w:rsid w:val="00F91A8A"/>
    <w:pPr>
      <w:keepNext/>
      <w:keepLines/>
      <w:spacing w:before="240" w:after="24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91A8A"/>
    <w:pPr>
      <w:keepNext/>
      <w:keepLines/>
      <w:outlineLvl w:val="2"/>
    </w:pPr>
    <w:rPr>
      <w:rFonts w:eastAsiaTheme="majorEastAsia" w:cstheme="majorBidi"/>
      <w:bCs/>
      <w:i/>
    </w:rPr>
  </w:style>
  <w:style w:type="paragraph" w:styleId="Kop4">
    <w:name w:val="heading 4"/>
    <w:basedOn w:val="Standaard"/>
    <w:next w:val="Standaard"/>
    <w:link w:val="Kop4Char"/>
    <w:uiPriority w:val="9"/>
    <w:unhideWhenUsed/>
    <w:qFormat/>
    <w:rsid w:val="00F91A8A"/>
    <w:pPr>
      <w:keepNext/>
      <w:keepLines/>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1A8A"/>
    <w:rPr>
      <w:rFonts w:eastAsiaTheme="majorEastAsia" w:cstheme="majorBidi"/>
      <w:b/>
      <w:bCs/>
      <w:sz w:val="30"/>
      <w:szCs w:val="28"/>
    </w:rPr>
  </w:style>
  <w:style w:type="character" w:customStyle="1" w:styleId="Kop2Char">
    <w:name w:val="Kop 2 Char"/>
    <w:basedOn w:val="Standaardalinea-lettertype"/>
    <w:link w:val="Kop2"/>
    <w:uiPriority w:val="9"/>
    <w:rsid w:val="00F91A8A"/>
    <w:rPr>
      <w:rFonts w:eastAsiaTheme="majorEastAsia" w:cstheme="majorBidi"/>
      <w:b/>
      <w:bCs/>
      <w:sz w:val="24"/>
      <w:szCs w:val="26"/>
    </w:rPr>
  </w:style>
  <w:style w:type="character" w:customStyle="1" w:styleId="Kop3Char">
    <w:name w:val="Kop 3 Char"/>
    <w:basedOn w:val="Standaardalinea-lettertype"/>
    <w:link w:val="Kop3"/>
    <w:uiPriority w:val="9"/>
    <w:rsid w:val="00F91A8A"/>
    <w:rPr>
      <w:rFonts w:eastAsiaTheme="majorEastAsia" w:cstheme="majorBidi"/>
      <w:bCs/>
      <w:i/>
      <w:sz w:val="20"/>
    </w:rPr>
  </w:style>
  <w:style w:type="character" w:customStyle="1" w:styleId="Kop4Char">
    <w:name w:val="Kop 4 Char"/>
    <w:basedOn w:val="Standaardalinea-lettertype"/>
    <w:link w:val="Kop4"/>
    <w:uiPriority w:val="9"/>
    <w:rsid w:val="00F91A8A"/>
    <w:rPr>
      <w:rFonts w:eastAsiaTheme="majorEastAsia" w:cstheme="majorBidi"/>
      <w:b/>
      <w:bCs/>
      <w:iCs/>
      <w:sz w:val="20"/>
    </w:rPr>
  </w:style>
  <w:style w:type="paragraph" w:styleId="Koptekst">
    <w:name w:val="header"/>
    <w:basedOn w:val="Standaard"/>
    <w:link w:val="KoptekstChar"/>
    <w:uiPriority w:val="99"/>
    <w:unhideWhenUsed/>
    <w:rsid w:val="00F91A8A"/>
    <w:pPr>
      <w:tabs>
        <w:tab w:val="right" w:pos="9072"/>
      </w:tabs>
    </w:pPr>
    <w:rPr>
      <w:i/>
      <w:sz w:val="16"/>
    </w:rPr>
  </w:style>
  <w:style w:type="character" w:customStyle="1" w:styleId="KoptekstChar">
    <w:name w:val="Koptekst Char"/>
    <w:basedOn w:val="Standaardalinea-lettertype"/>
    <w:link w:val="Koptekst"/>
    <w:uiPriority w:val="99"/>
    <w:rsid w:val="00F91A8A"/>
    <w:rPr>
      <w:i/>
      <w:sz w:val="16"/>
    </w:rPr>
  </w:style>
  <w:style w:type="paragraph" w:styleId="Voettekst">
    <w:name w:val="footer"/>
    <w:basedOn w:val="Standaard"/>
    <w:link w:val="VoettekstChar"/>
    <w:uiPriority w:val="99"/>
    <w:unhideWhenUsed/>
    <w:rsid w:val="00F91A8A"/>
    <w:pPr>
      <w:tabs>
        <w:tab w:val="right" w:pos="9072"/>
      </w:tabs>
    </w:pPr>
    <w:rPr>
      <w:i/>
      <w:sz w:val="16"/>
    </w:rPr>
  </w:style>
  <w:style w:type="character" w:customStyle="1" w:styleId="VoettekstChar">
    <w:name w:val="Voettekst Char"/>
    <w:basedOn w:val="Standaardalinea-lettertype"/>
    <w:link w:val="Voettekst"/>
    <w:uiPriority w:val="99"/>
    <w:rsid w:val="00F91A8A"/>
    <w:rPr>
      <w:i/>
      <w:sz w:val="16"/>
    </w:rPr>
  </w:style>
  <w:style w:type="paragraph" w:styleId="Geenafstand">
    <w:name w:val="No Spacing"/>
    <w:uiPriority w:val="1"/>
    <w:qFormat/>
    <w:rsid w:val="00797ABF"/>
    <w:pPr>
      <w:spacing w:after="0" w:line="240" w:lineRule="auto"/>
    </w:pPr>
  </w:style>
  <w:style w:type="table" w:styleId="Tabelraster">
    <w:name w:val="Table Grid"/>
    <w:basedOn w:val="Standaardtabel"/>
    <w:uiPriority w:val="59"/>
    <w:rsid w:val="0016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628E0"/>
    <w:rPr>
      <w:color w:val="0000FF"/>
      <w:u w:val="single"/>
    </w:rPr>
  </w:style>
  <w:style w:type="paragraph" w:styleId="Lijstalinea">
    <w:name w:val="List Paragraph"/>
    <w:basedOn w:val="Standaard"/>
    <w:uiPriority w:val="34"/>
    <w:qFormat/>
    <w:rsid w:val="001628E0"/>
    <w:pPr>
      <w:ind w:left="720"/>
      <w:contextualSpacing/>
    </w:pPr>
  </w:style>
  <w:style w:type="character" w:styleId="Verwijzingopmerking">
    <w:name w:val="annotation reference"/>
    <w:basedOn w:val="Standaardalinea-lettertype"/>
    <w:uiPriority w:val="99"/>
    <w:semiHidden/>
    <w:unhideWhenUsed/>
    <w:rsid w:val="00A35C05"/>
    <w:rPr>
      <w:sz w:val="16"/>
      <w:szCs w:val="16"/>
    </w:rPr>
  </w:style>
  <w:style w:type="paragraph" w:styleId="Tekstopmerking">
    <w:name w:val="annotation text"/>
    <w:basedOn w:val="Standaard"/>
    <w:link w:val="TekstopmerkingChar"/>
    <w:uiPriority w:val="99"/>
    <w:semiHidden/>
    <w:unhideWhenUsed/>
    <w:rsid w:val="00A35C05"/>
    <w:pPr>
      <w:spacing w:line="240" w:lineRule="auto"/>
    </w:pPr>
    <w:rPr>
      <w:szCs w:val="20"/>
    </w:rPr>
  </w:style>
  <w:style w:type="character" w:customStyle="1" w:styleId="TekstopmerkingChar">
    <w:name w:val="Tekst opmerking Char"/>
    <w:basedOn w:val="Standaardalinea-lettertype"/>
    <w:link w:val="Tekstopmerking"/>
    <w:uiPriority w:val="99"/>
    <w:semiHidden/>
    <w:rsid w:val="00A35C05"/>
    <w:rPr>
      <w:sz w:val="20"/>
      <w:szCs w:val="20"/>
    </w:rPr>
  </w:style>
  <w:style w:type="paragraph" w:styleId="Onderwerpvanopmerking">
    <w:name w:val="annotation subject"/>
    <w:basedOn w:val="Tekstopmerking"/>
    <w:next w:val="Tekstopmerking"/>
    <w:link w:val="OnderwerpvanopmerkingChar"/>
    <w:uiPriority w:val="99"/>
    <w:semiHidden/>
    <w:unhideWhenUsed/>
    <w:rsid w:val="00A35C05"/>
    <w:rPr>
      <w:b/>
      <w:bCs/>
    </w:rPr>
  </w:style>
  <w:style w:type="character" w:customStyle="1" w:styleId="OnderwerpvanopmerkingChar">
    <w:name w:val="Onderwerp van opmerking Char"/>
    <w:basedOn w:val="TekstopmerkingChar"/>
    <w:link w:val="Onderwerpvanopmerking"/>
    <w:uiPriority w:val="99"/>
    <w:semiHidden/>
    <w:rsid w:val="00A35C05"/>
    <w:rPr>
      <w:b/>
      <w:bCs/>
      <w:sz w:val="20"/>
      <w:szCs w:val="20"/>
    </w:rPr>
  </w:style>
  <w:style w:type="paragraph" w:styleId="Voetnoottekst">
    <w:name w:val="footnote text"/>
    <w:basedOn w:val="Standaard"/>
    <w:link w:val="VoetnoottekstChar"/>
    <w:uiPriority w:val="99"/>
    <w:semiHidden/>
    <w:unhideWhenUsed/>
    <w:rsid w:val="00DE6DA8"/>
    <w:pPr>
      <w:spacing w:line="240" w:lineRule="auto"/>
    </w:pPr>
    <w:rPr>
      <w:szCs w:val="20"/>
    </w:rPr>
  </w:style>
  <w:style w:type="character" w:customStyle="1" w:styleId="VoetnoottekstChar">
    <w:name w:val="Voetnoottekst Char"/>
    <w:basedOn w:val="Standaardalinea-lettertype"/>
    <w:link w:val="Voetnoottekst"/>
    <w:uiPriority w:val="99"/>
    <w:semiHidden/>
    <w:rsid w:val="00DE6DA8"/>
    <w:rPr>
      <w:sz w:val="20"/>
      <w:szCs w:val="20"/>
    </w:rPr>
  </w:style>
  <w:style w:type="character" w:styleId="Voetnootmarkering">
    <w:name w:val="footnote reference"/>
    <w:basedOn w:val="Standaardalinea-lettertype"/>
    <w:uiPriority w:val="99"/>
    <w:semiHidden/>
    <w:unhideWhenUsed/>
    <w:rsid w:val="00DE6DA8"/>
    <w:rPr>
      <w:vertAlign w:val="superscript"/>
    </w:rPr>
  </w:style>
  <w:style w:type="paragraph" w:styleId="Eindnoottekst">
    <w:name w:val="endnote text"/>
    <w:basedOn w:val="Standaard"/>
    <w:link w:val="EindnoottekstChar"/>
    <w:uiPriority w:val="99"/>
    <w:semiHidden/>
    <w:unhideWhenUsed/>
    <w:rsid w:val="00AB03C6"/>
    <w:pPr>
      <w:spacing w:line="240" w:lineRule="auto"/>
    </w:pPr>
    <w:rPr>
      <w:szCs w:val="20"/>
    </w:rPr>
  </w:style>
  <w:style w:type="character" w:customStyle="1" w:styleId="EindnoottekstChar">
    <w:name w:val="Eindnoottekst Char"/>
    <w:basedOn w:val="Standaardalinea-lettertype"/>
    <w:link w:val="Eindnoottekst"/>
    <w:uiPriority w:val="99"/>
    <w:semiHidden/>
    <w:rsid w:val="00AB03C6"/>
    <w:rPr>
      <w:sz w:val="20"/>
      <w:szCs w:val="20"/>
    </w:rPr>
  </w:style>
  <w:style w:type="character" w:styleId="Eindnootmarkering">
    <w:name w:val="endnote reference"/>
    <w:basedOn w:val="Standaardalinea-lettertype"/>
    <w:uiPriority w:val="99"/>
    <w:semiHidden/>
    <w:unhideWhenUsed/>
    <w:rsid w:val="00AB03C6"/>
    <w:rPr>
      <w:vertAlign w:val="superscript"/>
    </w:rPr>
  </w:style>
  <w:style w:type="character" w:styleId="Onopgelostemelding">
    <w:name w:val="Unresolved Mention"/>
    <w:basedOn w:val="Standaardalinea-lettertype"/>
    <w:uiPriority w:val="99"/>
    <w:semiHidden/>
    <w:unhideWhenUsed/>
    <w:rsid w:val="00434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0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rginregiohartvanbrabant.nl/jeugdhulp/buitenschoolse-opvang-plus-b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jksoverheid.nl/onderwerpen/kinderopvangtoeslag/vraag-en-antwoord/wanneer-heb-ik-recht-op-kinderopvangtoesl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AC492-6A56-4BDE-A10C-4EDD69DF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5183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Michiel</dc:creator>
  <cp:keywords/>
  <dc:description/>
  <cp:lastModifiedBy>Gorsel, Ilse van</cp:lastModifiedBy>
  <cp:revision>2</cp:revision>
  <dcterms:created xsi:type="dcterms:W3CDTF">2023-02-13T10:36:00Z</dcterms:created>
  <dcterms:modified xsi:type="dcterms:W3CDTF">2023-02-13T10:36:00Z</dcterms:modified>
</cp:coreProperties>
</file>